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jc w:val="center"/>
        <w:rPr>
          <w:rFonts w:cstheme="minorHAnsi"/>
          <w:b/>
          <w:bCs/>
          <w:sz w:val="28"/>
          <w:szCs w:val="28"/>
        </w:rPr>
      </w:pPr>
      <w:r>
        <w:rPr>
          <w:noProof/>
          <w:lang w:eastAsia="en-GB"/>
        </w:rPr>
        <w:drawing>
          <wp:anchor distT="0" distB="0" distL="114300" distR="114300" simplePos="0" relativeHeight="251658240" behindDoc="0" locked="0" layoutInCell="1" allowOverlap="1">
            <wp:simplePos x="0" y="0"/>
            <wp:positionH relativeFrom="column">
              <wp:posOffset>526415</wp:posOffset>
            </wp:positionH>
            <wp:positionV relativeFrom="paragraph">
              <wp:posOffset>0</wp:posOffset>
            </wp:positionV>
            <wp:extent cx="9201150" cy="1362075"/>
            <wp:effectExtent l="0" t="0" r="0" b="9525"/>
            <wp:wrapThrough wrapText="bothSides">
              <wp:wrapPolygon edited="0">
                <wp:start x="0" y="0"/>
                <wp:lineTo x="0" y="21449"/>
                <wp:lineTo x="21555" y="21449"/>
                <wp:lineTo x="2155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2464" t="30738" r="14082" b="41478"/>
                    <a:stretch/>
                  </pic:blipFill>
                  <pic:spPr bwMode="auto">
                    <a:xfrm>
                      <a:off x="0" y="0"/>
                      <a:ext cx="9201150" cy="1362075"/>
                    </a:xfrm>
                    <a:prstGeom prst="rect">
                      <a:avLst/>
                    </a:prstGeom>
                    <a:ln>
                      <a:noFill/>
                    </a:ln>
                    <a:extLst>
                      <a:ext uri="{53640926-AAD7-44D8-BBD7-CCE9431645EC}">
                        <a14:shadowObscured xmlns:a14="http://schemas.microsoft.com/office/drawing/2010/main"/>
                      </a:ext>
                    </a:extLst>
                  </pic:spPr>
                </pic:pic>
              </a:graphicData>
            </a:graphic>
          </wp:anchor>
        </w:drawing>
      </w:r>
    </w:p>
    <w:p>
      <w:pPr>
        <w:jc w:val="center"/>
        <w:rPr>
          <w:rFonts w:ascii="Tahoma" w:hAnsi="Tahoma" w:cs="Tahoma"/>
          <w:b/>
          <w:bCs/>
          <w:sz w:val="28"/>
          <w:szCs w:val="28"/>
          <w:u w:val="single"/>
        </w:rPr>
      </w:pPr>
      <w:r>
        <w:rPr>
          <w:rFonts w:ascii="Tahoma" w:hAnsi="Tahoma" w:cs="Tahoma"/>
          <w:b/>
          <w:bCs/>
          <w:sz w:val="28"/>
          <w:szCs w:val="28"/>
          <w:u w:val="single"/>
        </w:rPr>
        <w:t>Maesmarchog Primary School</w:t>
      </w:r>
    </w:p>
    <w:p>
      <w:pPr>
        <w:jc w:val="center"/>
        <w:rPr>
          <w:sz w:val="28"/>
          <w:szCs w:val="28"/>
        </w:rPr>
      </w:pPr>
      <w:r>
        <w:rPr>
          <w:rFonts w:cstheme="minorHAnsi"/>
          <w:b/>
          <w:bCs/>
          <w:sz w:val="28"/>
          <w:szCs w:val="28"/>
        </w:rPr>
        <w:t>Recovery Plan and Risk Assessment for 1st Phase of School Re-Opening June 29</w:t>
      </w:r>
      <w:r>
        <w:rPr>
          <w:rFonts w:cstheme="minorHAnsi"/>
          <w:b/>
          <w:bCs/>
          <w:sz w:val="28"/>
          <w:szCs w:val="28"/>
          <w:vertAlign w:val="superscript"/>
        </w:rPr>
        <w:t>th</w:t>
      </w:r>
    </w:p>
    <w:p>
      <w:pPr>
        <w:pStyle w:val="Default"/>
        <w:rPr>
          <w:color w:val="auto"/>
          <w:u w:val="single"/>
        </w:rPr>
      </w:pPr>
      <w:r>
        <w:rPr>
          <w:rFonts w:asciiTheme="minorHAnsi" w:hAnsiTheme="minorHAnsi" w:cstheme="minorHAnsi"/>
          <w:color w:val="auto"/>
        </w:rPr>
        <w:t xml:space="preserve"> </w:t>
      </w:r>
      <w:r>
        <w:rPr>
          <w:color w:val="auto"/>
          <w:u w:val="single"/>
        </w:rPr>
        <w:t>Rationale</w:t>
      </w:r>
    </w:p>
    <w:p>
      <w:pPr>
        <w:pStyle w:val="Default"/>
        <w:rPr>
          <w:rFonts w:asciiTheme="minorHAnsi" w:hAnsiTheme="minorHAnsi" w:cstheme="minorHAnsi"/>
          <w:color w:val="auto"/>
        </w:rPr>
      </w:pPr>
    </w:p>
    <w:p>
      <w:pPr>
        <w:rPr>
          <w:rFonts w:ascii="Comic Sans MS" w:hAnsi="Comic Sans MS"/>
          <w:color w:val="00B050"/>
          <w:sz w:val="24"/>
          <w:szCs w:val="24"/>
        </w:rPr>
      </w:pPr>
      <w:r>
        <w:rPr>
          <w:rFonts w:ascii="Tahoma" w:hAnsi="Tahoma" w:cs="Tahoma"/>
          <w:sz w:val="24"/>
          <w:szCs w:val="24"/>
        </w:rPr>
        <w:t>This plan is produced to aid the reopening of Maesmarchog Primary School following the closure of our school on 20th March 2020. This recovery plan has been developed in line with the</w:t>
      </w:r>
      <w:r>
        <w:rPr>
          <w:rFonts w:ascii="Comic Sans MS" w:hAnsi="Comic Sans MS"/>
          <w:color w:val="00B050"/>
          <w:sz w:val="24"/>
          <w:szCs w:val="24"/>
        </w:rPr>
        <w:t xml:space="preserve"> </w:t>
      </w:r>
      <w:r>
        <w:rPr>
          <w:rFonts w:ascii="Tahoma" w:hAnsi="Tahoma" w:cs="Tahoma"/>
          <w:sz w:val="24"/>
          <w:szCs w:val="24"/>
        </w:rPr>
        <w:t>guidance provided by the Welsh Government document, ‘Keep Education Safe (Operational Guidance for Schools and settings (Covid-19)’</w:t>
      </w:r>
      <w:r>
        <w:rPr>
          <w:rFonts w:ascii="Tahoma" w:hAnsi="Tahoma" w:cs="Tahoma"/>
          <w:b/>
          <w:bCs/>
        </w:rPr>
        <w:t> </w:t>
      </w:r>
      <w:r>
        <w:rPr>
          <w:rFonts w:ascii="Tahoma" w:hAnsi="Tahoma" w:cs="Tahoma"/>
          <w:sz w:val="24"/>
          <w:szCs w:val="24"/>
        </w:rPr>
        <w:t>(See Appendix 1)</w:t>
      </w:r>
      <w:r>
        <w:rPr>
          <w:rFonts w:ascii="Comic Sans MS" w:hAnsi="Comic Sans MS"/>
          <w:sz w:val="24"/>
          <w:szCs w:val="24"/>
        </w:rPr>
        <w:t xml:space="preserve"> </w:t>
      </w:r>
      <w:hyperlink r:id="rId9" w:history="1">
        <w:r>
          <w:rPr>
            <w:rStyle w:val="Hyperlink"/>
          </w:rPr>
          <w:t>https://gov.wales/keep-education-safe-operat</w:t>
        </w:r>
        <w:r>
          <w:rPr>
            <w:rStyle w:val="Hyperlink"/>
          </w:rPr>
          <w:t>i</w:t>
        </w:r>
        <w:r>
          <w:rPr>
            <w:rStyle w:val="Hyperlink"/>
          </w:rPr>
          <w:t>onal-guidance-schools-and-settings-covid-19</w:t>
        </w:r>
      </w:hyperlink>
    </w:p>
    <w:p>
      <w:pPr>
        <w:rPr>
          <w:rFonts w:ascii="Tahoma" w:hAnsi="Tahoma" w:cs="Tahoma"/>
          <w:sz w:val="24"/>
          <w:szCs w:val="24"/>
        </w:rPr>
      </w:pPr>
      <w:r>
        <w:rPr>
          <w:rFonts w:ascii="Tahoma" w:hAnsi="Tahoma" w:cs="Tahoma"/>
          <w:sz w:val="24"/>
          <w:szCs w:val="24"/>
        </w:rPr>
        <w:t>Guidance provided by NPT Council, ‘Neath Port Talbot Check in, Catch Up and Prepare for summer and September Arrangements’ has also supported the development of the plan.  (See Appendix 2)</w:t>
      </w:r>
    </w:p>
    <w:p>
      <w:pPr>
        <w:pStyle w:val="Default"/>
        <w:rPr>
          <w:color w:val="auto"/>
        </w:rPr>
      </w:pPr>
      <w:r>
        <w:rPr>
          <w:color w:val="auto"/>
        </w:rPr>
        <w:t xml:space="preserve">The plan is based on the current available guidance and advice from Welsh Government and Neath Port Talbot Local Authority. It has been written following onsite Health and Safety planning. </w:t>
      </w:r>
      <w:r>
        <w:rPr>
          <w:bdr w:val="none" w:sz="0" w:space="0" w:color="auto" w:frame="1"/>
        </w:rPr>
        <w:t>A Local Authority COVID 19 Risk Assessment has been completed by the school and shared with all staff (see Appendix 3)</w:t>
      </w:r>
    </w:p>
    <w:p>
      <w:pPr>
        <w:pStyle w:val="Default"/>
        <w:rPr>
          <w:color w:val="auto"/>
        </w:rPr>
      </w:pPr>
    </w:p>
    <w:p>
      <w:pPr>
        <w:pStyle w:val="Default"/>
        <w:rPr>
          <w:color w:val="auto"/>
        </w:rPr>
      </w:pPr>
      <w:r>
        <w:rPr>
          <w:color w:val="auto"/>
        </w:rPr>
        <w:t xml:space="preserve">This plan has been produced to ultimately enable a safe return to school for pupils. staff and other members of the school community. It has been written following discussion and consultation with the Local Authority, the Senior Management Team of the school, the staff and the Chair of Governors. </w:t>
      </w:r>
    </w:p>
    <w:p>
      <w:pPr>
        <w:pStyle w:val="Default"/>
        <w:rPr>
          <w:color w:val="auto"/>
        </w:rPr>
      </w:pPr>
    </w:p>
    <w:p>
      <w:pPr>
        <w:pStyle w:val="Default"/>
        <w:rPr>
          <w:color w:val="auto"/>
        </w:rPr>
      </w:pPr>
      <w:r>
        <w:rPr>
          <w:color w:val="auto"/>
        </w:rPr>
        <w:t xml:space="preserve">The school will be re-opening with measures in place to help us be a COVID secure school, blending face-to face and online distance learning. It is expected to be a “Check in, Catch Up and Prepare” for summer and September opportunity rather than have a purely educational focus. </w:t>
      </w:r>
    </w:p>
    <w:p>
      <w:pPr>
        <w:pStyle w:val="Default"/>
        <w:rPr>
          <w:color w:val="auto"/>
        </w:rPr>
      </w:pPr>
      <w:r>
        <w:rPr>
          <w:color w:val="auto"/>
        </w:rPr>
        <w:t xml:space="preserve">The plan will be used flexibly and is very likely to evolve and change as children return and guidance changes. </w:t>
      </w:r>
    </w:p>
    <w:p>
      <w:pPr>
        <w:pStyle w:val="Default"/>
        <w:rPr>
          <w:color w:val="auto"/>
        </w:rPr>
      </w:pPr>
    </w:p>
    <w:p>
      <w:pPr>
        <w:pStyle w:val="Default"/>
        <w:rPr>
          <w:color w:val="auto"/>
        </w:rPr>
      </w:pPr>
      <w:r>
        <w:rPr>
          <w:color w:val="auto"/>
        </w:rPr>
        <w:t xml:space="preserve">Our aims and decision making will be guided by two clear questions: </w:t>
      </w:r>
    </w:p>
    <w:p>
      <w:pPr>
        <w:pStyle w:val="Default"/>
        <w:spacing w:after="19"/>
        <w:rPr>
          <w:color w:val="auto"/>
        </w:rPr>
      </w:pPr>
      <w:r>
        <w:rPr>
          <w:color w:val="auto"/>
        </w:rPr>
        <w:lastRenderedPageBreak/>
        <w:t xml:space="preserve">1. What is the best support that we can provide for our school community?  </w:t>
      </w:r>
    </w:p>
    <w:p>
      <w:pPr>
        <w:pStyle w:val="Default"/>
        <w:rPr>
          <w:color w:val="auto"/>
        </w:rPr>
      </w:pPr>
      <w:r>
        <w:rPr>
          <w:color w:val="auto"/>
        </w:rPr>
        <w:t xml:space="preserve">2. How do we ensure the highest standards of safety? </w:t>
      </w:r>
    </w:p>
    <w:p>
      <w:pPr>
        <w:pStyle w:val="Default"/>
        <w:rPr>
          <w:color w:val="auto"/>
        </w:rPr>
      </w:pPr>
    </w:p>
    <w:p>
      <w:pPr>
        <w:pStyle w:val="Default"/>
        <w:rPr>
          <w:color w:val="auto"/>
        </w:rPr>
      </w:pPr>
      <w:r>
        <w:rPr>
          <w:color w:val="auto"/>
        </w:rPr>
        <w:t xml:space="preserve">As we move forwards these simple questions will guide and inform all our decision making. </w:t>
      </w:r>
    </w:p>
    <w:p>
      <w:pPr>
        <w:pStyle w:val="Default"/>
        <w:rPr>
          <w:rFonts w:asciiTheme="minorHAnsi" w:hAnsiTheme="minorHAnsi" w:cstheme="minorHAnsi"/>
          <w:color w:val="auto"/>
        </w:rPr>
      </w:pPr>
      <w:r>
        <w:rPr>
          <w:b/>
          <w:bCs/>
          <w:color w:val="auto"/>
        </w:rPr>
        <w:t xml:space="preserve">We will not implement any plan unless we are convinced that it is the right thing to do and we can do it safely. </w:t>
      </w:r>
    </w:p>
    <w:p>
      <w:pPr>
        <w:pStyle w:val="Default"/>
        <w:rPr>
          <w:color w:val="auto"/>
        </w:rPr>
      </w:pPr>
    </w:p>
    <w:p>
      <w:pPr>
        <w:pStyle w:val="Default"/>
        <w:rPr>
          <w:color w:val="auto"/>
        </w:rPr>
      </w:pPr>
    </w:p>
    <w:p>
      <w:pPr>
        <w:pStyle w:val="Default"/>
        <w:rPr>
          <w:color w:val="FF0000"/>
        </w:rPr>
      </w:pPr>
      <w:r>
        <w:rPr>
          <w:color w:val="auto"/>
        </w:rPr>
        <w:t xml:space="preserve">This plan has been developed using the following </w:t>
      </w:r>
      <w:r>
        <w:rPr>
          <w:b/>
          <w:color w:val="auto"/>
        </w:rPr>
        <w:t xml:space="preserve">5 </w:t>
      </w:r>
      <w:r>
        <w:rPr>
          <w:b/>
          <w:bCs/>
          <w:color w:val="auto"/>
        </w:rPr>
        <w:t xml:space="preserve">key principles </w:t>
      </w:r>
      <w:r>
        <w:rPr>
          <w:bCs/>
          <w:color w:val="auto"/>
        </w:rPr>
        <w:t>set out by the Education Minister</w:t>
      </w:r>
      <w:r>
        <w:rPr>
          <w:color w:val="auto"/>
        </w:rPr>
        <w:t xml:space="preserve">: </w:t>
      </w:r>
    </w:p>
    <w:p>
      <w:pPr>
        <w:pStyle w:val="Default"/>
        <w:rPr>
          <w:rFonts w:asciiTheme="minorHAnsi" w:hAnsiTheme="minorHAnsi" w:cstheme="minorHAnsi"/>
          <w:color w:val="auto"/>
        </w:rPr>
      </w:pPr>
    </w:p>
    <w:p>
      <w:pPr>
        <w:rPr>
          <w:rFonts w:ascii="Tahoma" w:eastAsia="Times New Roman" w:hAnsi="Tahoma" w:cs="Tahoma"/>
          <w:sz w:val="24"/>
          <w:szCs w:val="24"/>
        </w:rPr>
      </w:pPr>
      <w:r>
        <w:rPr>
          <w:rFonts w:ascii="Tahoma" w:eastAsia="Times New Roman" w:hAnsi="Tahoma" w:cs="Tahoma"/>
          <w:sz w:val="24"/>
          <w:szCs w:val="24"/>
        </w:rPr>
        <w:t>1. The safety and mental, emotional and physical well-being of staff and students</w:t>
      </w:r>
    </w:p>
    <w:p>
      <w:pPr>
        <w:rPr>
          <w:rFonts w:ascii="Tahoma" w:eastAsia="Times New Roman" w:hAnsi="Tahoma" w:cs="Tahoma"/>
          <w:sz w:val="24"/>
          <w:szCs w:val="24"/>
        </w:rPr>
      </w:pPr>
      <w:r>
        <w:rPr>
          <w:rFonts w:ascii="Tahoma" w:eastAsia="Times New Roman" w:hAnsi="Tahoma" w:cs="Tahoma"/>
          <w:sz w:val="24"/>
          <w:szCs w:val="24"/>
        </w:rPr>
        <w:t>2. Continuing contribution to the national effort and strategy to fight the spread of COVID- 19</w:t>
      </w:r>
    </w:p>
    <w:p>
      <w:pPr>
        <w:rPr>
          <w:rFonts w:ascii="Tahoma" w:eastAsia="Times New Roman" w:hAnsi="Tahoma" w:cs="Tahoma"/>
          <w:sz w:val="24"/>
          <w:szCs w:val="24"/>
        </w:rPr>
      </w:pPr>
      <w:r>
        <w:rPr>
          <w:rFonts w:ascii="Tahoma" w:eastAsia="Times New Roman" w:hAnsi="Tahoma" w:cs="Tahoma"/>
          <w:sz w:val="24"/>
          <w:szCs w:val="24"/>
        </w:rPr>
        <w:t>3. Having the confidence of parents, staff and students - based on evidence and information - so that they can plan ahead</w:t>
      </w:r>
    </w:p>
    <w:p>
      <w:pPr>
        <w:rPr>
          <w:rFonts w:ascii="Tahoma" w:eastAsia="Times New Roman" w:hAnsi="Tahoma" w:cs="Tahoma"/>
          <w:sz w:val="24"/>
          <w:szCs w:val="24"/>
        </w:rPr>
      </w:pPr>
      <w:r>
        <w:rPr>
          <w:rFonts w:ascii="Tahoma" w:eastAsia="Times New Roman" w:hAnsi="Tahoma" w:cs="Tahoma"/>
          <w:sz w:val="24"/>
          <w:szCs w:val="24"/>
        </w:rPr>
        <w:t xml:space="preserve">4. Ability to prioritise learners including vulnerable pupils and those with additional leaning needs and </w:t>
      </w:r>
    </w:p>
    <w:p>
      <w:pPr>
        <w:rPr>
          <w:rFonts w:ascii="Tahoma" w:eastAsia="Times New Roman" w:hAnsi="Tahoma" w:cs="Tahoma"/>
          <w:sz w:val="24"/>
          <w:szCs w:val="24"/>
        </w:rPr>
      </w:pPr>
      <w:r>
        <w:rPr>
          <w:rFonts w:ascii="Tahoma" w:eastAsia="Times New Roman" w:hAnsi="Tahoma" w:cs="Tahoma"/>
          <w:sz w:val="24"/>
          <w:szCs w:val="24"/>
        </w:rPr>
        <w:t>5. Consistency with the Welsh Government’s framework for decision making, to have guidance in place to support measures such as social distancing, managing attendance and wider protective actions.</w:t>
      </w:r>
    </w:p>
    <w:p>
      <w:pPr>
        <w:pStyle w:val="Default"/>
        <w:rPr>
          <w:color w:val="auto"/>
        </w:rPr>
      </w:pPr>
      <w:r>
        <w:rPr>
          <w:b/>
          <w:bCs/>
          <w:color w:val="auto"/>
        </w:rPr>
        <w:t xml:space="preserve">Overarching Guidance for leaders and governors. </w:t>
      </w:r>
    </w:p>
    <w:p>
      <w:pPr>
        <w:pStyle w:val="Default"/>
        <w:spacing w:after="21"/>
        <w:rPr>
          <w:color w:val="auto"/>
        </w:rPr>
      </w:pPr>
      <w:r>
        <w:rPr>
          <w:color w:val="auto"/>
        </w:rPr>
        <w:t xml:space="preserve">1. The principles outlined above must be evident in all our decision making. Our overall aim is to ensure that our decision making is calm and informed. </w:t>
      </w:r>
    </w:p>
    <w:p>
      <w:pPr>
        <w:pStyle w:val="Default"/>
        <w:spacing w:after="21"/>
        <w:rPr>
          <w:color w:val="auto"/>
        </w:rPr>
      </w:pPr>
      <w:r>
        <w:rPr>
          <w:color w:val="auto"/>
        </w:rPr>
        <w:t xml:space="preserve">2. Our community can expect us to respond clearly and with urgency to any safety issues raised. </w:t>
      </w:r>
    </w:p>
    <w:p>
      <w:pPr>
        <w:pStyle w:val="Default"/>
        <w:rPr>
          <w:color w:val="auto"/>
        </w:rPr>
      </w:pPr>
      <w:r>
        <w:rPr>
          <w:color w:val="auto"/>
        </w:rPr>
        <w:t xml:space="preserve">3. Senior leaders and governors must consider all the advice made available to them. This includes updated guidance for schools from Welsh   </w:t>
      </w:r>
    </w:p>
    <w:p>
      <w:pPr>
        <w:pStyle w:val="Default"/>
        <w:rPr>
          <w:color w:val="auto"/>
        </w:rPr>
      </w:pPr>
      <w:r>
        <w:rPr>
          <w:color w:val="auto"/>
        </w:rPr>
        <w:t xml:space="preserve">    Government and Neath Port Talbot Local Education Authority</w:t>
      </w:r>
    </w:p>
    <w:p>
      <w:pPr>
        <w:pStyle w:val="Default"/>
        <w:spacing w:after="19"/>
        <w:rPr>
          <w:color w:val="auto"/>
        </w:rPr>
      </w:pPr>
      <w:r>
        <w:rPr>
          <w:color w:val="auto"/>
        </w:rPr>
        <w:t xml:space="preserve">4. Excellent communication must be evident throughout the planning and implementation of our safety plans. We will work with all staff and welcome   </w:t>
      </w:r>
    </w:p>
    <w:p>
      <w:pPr>
        <w:pStyle w:val="Default"/>
        <w:spacing w:after="19"/>
        <w:rPr>
          <w:color w:val="auto"/>
        </w:rPr>
      </w:pPr>
      <w:r>
        <w:rPr>
          <w:color w:val="auto"/>
        </w:rPr>
        <w:t xml:space="preserve">    input from pupils and parents. We will share advice that informs our decision making. </w:t>
      </w:r>
    </w:p>
    <w:p>
      <w:pPr>
        <w:pStyle w:val="Default"/>
        <w:rPr>
          <w:color w:val="auto"/>
        </w:rPr>
      </w:pPr>
      <w:r>
        <w:rPr>
          <w:color w:val="auto"/>
        </w:rPr>
        <w:t xml:space="preserve">5. In order to build trust in our community, we will always be open and transparent. </w:t>
      </w:r>
    </w:p>
    <w:p>
      <w:pPr>
        <w:pStyle w:val="Default"/>
        <w:rPr>
          <w:rFonts w:asciiTheme="minorHAnsi" w:hAnsiTheme="minorHAnsi" w:cstheme="minorHAnsi"/>
          <w:color w:val="auto"/>
        </w:rPr>
      </w:pPr>
    </w:p>
    <w:p>
      <w:pPr>
        <w:pStyle w:val="Default"/>
        <w:rPr>
          <w:color w:val="auto"/>
        </w:rPr>
      </w:pPr>
      <w:r>
        <w:rPr>
          <w:color w:val="auto"/>
        </w:rPr>
        <w:t xml:space="preserve">This plan will aim to ensure that we safeguard our community by: </w:t>
      </w:r>
    </w:p>
    <w:p>
      <w:pPr>
        <w:pStyle w:val="Default"/>
        <w:numPr>
          <w:ilvl w:val="0"/>
          <w:numId w:val="2"/>
        </w:numPr>
        <w:spacing w:after="19"/>
        <w:rPr>
          <w:color w:val="auto"/>
        </w:rPr>
      </w:pPr>
      <w:r>
        <w:rPr>
          <w:color w:val="auto"/>
        </w:rPr>
        <w:t xml:space="preserve">Always being alert to risk </w:t>
      </w:r>
    </w:p>
    <w:p>
      <w:pPr>
        <w:pStyle w:val="Default"/>
        <w:numPr>
          <w:ilvl w:val="0"/>
          <w:numId w:val="2"/>
        </w:numPr>
        <w:spacing w:after="19"/>
        <w:rPr>
          <w:color w:val="auto"/>
        </w:rPr>
      </w:pPr>
      <w:r>
        <w:rPr>
          <w:color w:val="auto"/>
        </w:rPr>
        <w:t xml:space="preserve">Reducing risk through effective organisation and controls. </w:t>
      </w:r>
    </w:p>
    <w:p>
      <w:pPr>
        <w:pStyle w:val="Default"/>
        <w:numPr>
          <w:ilvl w:val="0"/>
          <w:numId w:val="2"/>
        </w:numPr>
        <w:rPr>
          <w:color w:val="auto"/>
        </w:rPr>
      </w:pPr>
      <w:r>
        <w:rPr>
          <w:color w:val="auto"/>
        </w:rPr>
        <w:t xml:space="preserve">Reducing transmission risk by limiting interactions within the school community. </w:t>
      </w:r>
    </w:p>
    <w:p>
      <w:pPr>
        <w:pStyle w:val="Default"/>
        <w:rPr>
          <w:rFonts w:asciiTheme="minorHAnsi" w:hAnsiTheme="minorHAnsi" w:cstheme="minorHAnsi"/>
          <w:color w:val="auto"/>
        </w:rPr>
      </w:pPr>
    </w:p>
    <w:p>
      <w:pPr>
        <w:pStyle w:val="Default"/>
        <w:rPr>
          <w:b/>
          <w:color w:val="FF0000"/>
        </w:rPr>
      </w:pPr>
      <w:r>
        <w:rPr>
          <w:color w:val="auto"/>
        </w:rPr>
        <w:lastRenderedPageBreak/>
        <w:t>Simply our plan is:</w:t>
      </w:r>
      <w:r>
        <w:rPr>
          <w:b/>
          <w:color w:val="FF0000"/>
        </w:rPr>
        <w:t xml:space="preserve"> </w:t>
      </w:r>
    </w:p>
    <w:p>
      <w:pPr>
        <w:pStyle w:val="Default"/>
        <w:rPr>
          <w:b/>
          <w:color w:val="FF0000"/>
        </w:rPr>
      </w:pPr>
    </w:p>
    <w:p>
      <w:pPr>
        <w:pStyle w:val="Default"/>
        <w:numPr>
          <w:ilvl w:val="0"/>
          <w:numId w:val="56"/>
        </w:numPr>
        <w:rPr>
          <w:color w:val="auto"/>
        </w:rPr>
      </w:pPr>
      <w:r>
        <w:rPr>
          <w:color w:val="auto"/>
        </w:rPr>
        <w:t>Up to a third of our pupils will be allowed in school at a time. This constitutes no more than 38 children in school on any one day.</w:t>
      </w:r>
    </w:p>
    <w:p>
      <w:pPr>
        <w:pStyle w:val="Default"/>
        <w:numPr>
          <w:ilvl w:val="0"/>
          <w:numId w:val="56"/>
        </w:numPr>
        <w:rPr>
          <w:color w:val="auto"/>
        </w:rPr>
      </w:pPr>
      <w:r>
        <w:rPr>
          <w:color w:val="auto"/>
        </w:rPr>
        <w:t xml:space="preserve">A childcare hub providing care for vulnerable pupils and children of critical workers will return to Maesmarchog and will constitute a portion of this third. </w:t>
      </w:r>
      <w:r>
        <w:rPr>
          <w:bdr w:val="none" w:sz="0" w:space="0" w:color="auto" w:frame="1"/>
        </w:rPr>
        <w:t>Children currently attending the hub must be accommodated on the days they attend. Children of school staff can be registered too for hub provision.</w:t>
      </w:r>
    </w:p>
    <w:p>
      <w:pPr>
        <w:pStyle w:val="Default"/>
        <w:numPr>
          <w:ilvl w:val="0"/>
          <w:numId w:val="56"/>
        </w:numPr>
        <w:rPr>
          <w:color w:val="auto"/>
        </w:rPr>
      </w:pPr>
      <w:r>
        <w:rPr>
          <w:bdr w:val="none" w:sz="0" w:space="0" w:color="auto" w:frame="1"/>
        </w:rPr>
        <w:t>Reception and Nursery provision will not be provided during the summer term.</w:t>
      </w:r>
      <w:r>
        <w:rPr>
          <w:rFonts w:ascii="Arial" w:hAnsi="Arial" w:cs="Arial"/>
          <w:shd w:val="clear" w:color="auto" w:fill="FFFFFF"/>
        </w:rPr>
        <w:t xml:space="preserve"> </w:t>
      </w:r>
      <w:r>
        <w:rPr>
          <w:shd w:val="clear" w:color="auto" w:fill="FFFFFF"/>
        </w:rPr>
        <w:t>Home Learning will continue for these pupils however</w:t>
      </w:r>
      <w:r>
        <w:rPr>
          <w:rFonts w:ascii="Arial" w:hAnsi="Arial" w:cs="Arial"/>
          <w:shd w:val="clear" w:color="auto" w:fill="FFFFFF"/>
        </w:rPr>
        <w:t>.</w:t>
      </w:r>
    </w:p>
    <w:p>
      <w:pPr>
        <w:pStyle w:val="Default"/>
        <w:numPr>
          <w:ilvl w:val="0"/>
          <w:numId w:val="56"/>
        </w:numPr>
        <w:rPr>
          <w:color w:val="auto"/>
        </w:rPr>
      </w:pPr>
      <w:r>
        <w:rPr>
          <w:rFonts w:ascii="Arial" w:hAnsi="Arial" w:cs="Arial"/>
          <w:shd w:val="clear" w:color="auto" w:fill="FFFFFF"/>
        </w:rPr>
        <w:t>Children who are attending the hub provision will also be provided with opportunities for ‘catch up, check up and prepare’ time with their class teacher.</w:t>
      </w:r>
    </w:p>
    <w:p>
      <w:pPr>
        <w:pStyle w:val="NormalWeb"/>
        <w:numPr>
          <w:ilvl w:val="0"/>
          <w:numId w:val="56"/>
        </w:numPr>
        <w:rPr>
          <w:color w:val="000000"/>
        </w:rPr>
      </w:pPr>
      <w:r>
        <w:rPr>
          <w:rFonts w:ascii="Tahoma" w:hAnsi="Tahoma" w:cs="Tahoma"/>
        </w:rPr>
        <w:t xml:space="preserve">Our children will be placed in class pods of no more than 8. They will spend their school day in their pod. They will not mix with other children from other pods and they will play, learn and eat in their pod. The pod will be a ‘safety bubble’ approach. </w:t>
      </w:r>
      <w:r>
        <w:rPr>
          <w:rFonts w:ascii="Tahoma" w:hAnsi="Tahoma" w:cs="Tahoma"/>
          <w:color w:val="000000"/>
        </w:rPr>
        <w:t>These groups should remain consistent as changing the membership will increase the risk of transmission. Children should attend just one setting wherever possible and should remain in the same small, consistent group within that setting as far as possible. If a child attends more than one setting, for example the hub class, the child will remain in the same, small group in their class ‘check in, catch up and prepare’ bubble in order to minimise the overall levels of contact.</w:t>
      </w:r>
    </w:p>
    <w:p>
      <w:pPr>
        <w:pStyle w:val="Default"/>
        <w:numPr>
          <w:ilvl w:val="0"/>
          <w:numId w:val="3"/>
        </w:numPr>
        <w:spacing w:after="21"/>
        <w:rPr>
          <w:color w:val="auto"/>
        </w:rPr>
      </w:pPr>
      <w:r>
        <w:rPr>
          <w:color w:val="auto"/>
        </w:rPr>
        <w:t xml:space="preserve">Children where possible will enter and exit the school through different entrances and will play in separate yards or at different times. However, we are not stating that children are in quarantine. </w:t>
      </w:r>
    </w:p>
    <w:p>
      <w:pPr>
        <w:pStyle w:val="Default"/>
        <w:numPr>
          <w:ilvl w:val="0"/>
          <w:numId w:val="3"/>
        </w:numPr>
        <w:spacing w:after="21"/>
        <w:rPr>
          <w:color w:val="auto"/>
        </w:rPr>
      </w:pPr>
      <w:r>
        <w:rPr>
          <w:color w:val="auto"/>
        </w:rPr>
        <w:t>Pods will have allocated staff for caring/ teaching and lunchtime supervision. All pods will be allocated a teacher and a teaching assistant that will remain with that pod for the day. This will reduce the possibility of contracting and transmitting the Coronavirus.</w:t>
      </w:r>
    </w:p>
    <w:p>
      <w:pPr>
        <w:pStyle w:val="Default"/>
        <w:numPr>
          <w:ilvl w:val="0"/>
          <w:numId w:val="3"/>
        </w:numPr>
        <w:spacing w:after="21"/>
        <w:rPr>
          <w:color w:val="auto"/>
        </w:rPr>
      </w:pPr>
      <w:r>
        <w:rPr>
          <w:color w:val="auto"/>
        </w:rPr>
        <w:t xml:space="preserve">In the school and in each pod, everybody will apply the best standards of hygiene that we can. Each child and staff member will access alcohol-based hand gel (minimum 60% alcohol) on entry into school. Each pod will have access to tissues, antibacterial hand wash, water and antiseptic wipes. </w:t>
      </w:r>
    </w:p>
    <w:p>
      <w:pPr>
        <w:pStyle w:val="Default"/>
        <w:numPr>
          <w:ilvl w:val="0"/>
          <w:numId w:val="3"/>
        </w:numPr>
        <w:spacing w:after="21"/>
        <w:rPr>
          <w:color w:val="auto"/>
        </w:rPr>
      </w:pPr>
      <w:r>
        <w:rPr>
          <w:color w:val="auto"/>
        </w:rPr>
        <w:t>Children and staff will wash hands on arrival into the class, when leaving the class, before and after food is eaten, before and after handling objects handled by others, after any physical contact with another person and after sneezing, coughing or blowing their nose. Children will be reminded to wash their hands thoroughly with running water and soap for at least 20 seconds.</w:t>
      </w:r>
    </w:p>
    <w:p>
      <w:pPr>
        <w:pStyle w:val="Default"/>
        <w:numPr>
          <w:ilvl w:val="0"/>
          <w:numId w:val="3"/>
        </w:numPr>
        <w:spacing w:after="21"/>
        <w:rPr>
          <w:color w:val="auto"/>
        </w:rPr>
      </w:pPr>
      <w:r>
        <w:rPr>
          <w:color w:val="auto"/>
        </w:rPr>
        <w:t>Surfaces that are frequently touched will be cleaned throughout the day with antibacterial cleaning materials and a thorough clean will take place at the end of every day.</w:t>
      </w:r>
    </w:p>
    <w:p>
      <w:pPr>
        <w:pStyle w:val="Default"/>
        <w:numPr>
          <w:ilvl w:val="0"/>
          <w:numId w:val="3"/>
        </w:numPr>
        <w:spacing w:after="21"/>
        <w:rPr>
          <w:color w:val="auto"/>
        </w:rPr>
      </w:pPr>
      <w:r>
        <w:rPr>
          <w:color w:val="auto"/>
        </w:rPr>
        <w:t>Children will be reminded to cough or sneeze into tissues and to dispose of these in pedal bins provided in the class.</w:t>
      </w:r>
    </w:p>
    <w:p>
      <w:pPr>
        <w:pStyle w:val="Default"/>
        <w:numPr>
          <w:ilvl w:val="0"/>
          <w:numId w:val="3"/>
        </w:numPr>
        <w:spacing w:after="21"/>
        <w:rPr>
          <w:color w:val="auto"/>
        </w:rPr>
      </w:pPr>
      <w:r>
        <w:rPr>
          <w:color w:val="auto"/>
        </w:rPr>
        <w:t xml:space="preserve">Where possible, social distancing practices will be maintained. </w:t>
      </w:r>
      <w:r>
        <w:rPr>
          <w:rFonts w:ascii="Arial" w:hAnsi="Arial" w:cs="Arial"/>
          <w:bdr w:val="none" w:sz="0" w:space="0" w:color="auto" w:frame="1"/>
        </w:rPr>
        <w:t xml:space="preserve">All children will be encouraged and reminded to socially distance in all classes. Tables / chairs / furniture will be arranged 2 meters apart. </w:t>
      </w:r>
      <w:r>
        <w:rPr>
          <w:color w:val="auto"/>
        </w:rPr>
        <w:t>However, given the age and understanding of some pupils, social distancing measures will not always be able to be maintained.</w:t>
      </w:r>
    </w:p>
    <w:p>
      <w:pPr>
        <w:pStyle w:val="Default"/>
        <w:numPr>
          <w:ilvl w:val="0"/>
          <w:numId w:val="3"/>
        </w:numPr>
        <w:spacing w:after="21"/>
        <w:rPr>
          <w:color w:val="auto"/>
        </w:rPr>
      </w:pPr>
      <w:r>
        <w:rPr>
          <w:shd w:val="clear" w:color="auto" w:fill="FFFFFF"/>
        </w:rPr>
        <w:t>Signage in and around school will be used to remind pupils to social distance as well as to practice increased hygiene correctly</w:t>
      </w:r>
      <w:r>
        <w:rPr>
          <w:rFonts w:ascii="Arial" w:hAnsi="Arial" w:cs="Arial"/>
          <w:shd w:val="clear" w:color="auto" w:fill="FFFFFF"/>
        </w:rPr>
        <w:t>.</w:t>
      </w:r>
    </w:p>
    <w:p>
      <w:pPr>
        <w:pStyle w:val="Default"/>
        <w:numPr>
          <w:ilvl w:val="0"/>
          <w:numId w:val="3"/>
        </w:numPr>
        <w:spacing w:after="21"/>
        <w:rPr>
          <w:color w:val="auto"/>
        </w:rPr>
      </w:pPr>
      <w:r>
        <w:rPr>
          <w:rFonts w:ascii="Arial" w:hAnsi="Arial" w:cs="Arial"/>
          <w:bdr w:val="none" w:sz="0" w:space="0" w:color="auto" w:frame="1"/>
        </w:rPr>
        <w:lastRenderedPageBreak/>
        <w:t>Internal doors, where possible, will be kept open to reduce any touch points.</w:t>
      </w:r>
    </w:p>
    <w:p>
      <w:pPr>
        <w:pStyle w:val="Default"/>
        <w:spacing w:after="14"/>
        <w:rPr>
          <w:b/>
          <w:bCs/>
          <w:color w:val="auto"/>
        </w:rPr>
      </w:pPr>
    </w:p>
    <w:p>
      <w:pPr>
        <w:pStyle w:val="Default"/>
        <w:spacing w:after="14"/>
        <w:rPr>
          <w:rFonts w:asciiTheme="minorHAnsi" w:hAnsiTheme="minorHAnsi" w:cstheme="minorHAnsi"/>
          <w:b/>
          <w:bCs/>
          <w:color w:val="auto"/>
        </w:rPr>
      </w:pPr>
      <w:r>
        <w:rPr>
          <w:b/>
          <w:bCs/>
          <w:color w:val="auto"/>
        </w:rPr>
        <w:t xml:space="preserve">In order to minimise contact with individuals who are unwell, parents and staff will ensure that those who have coronavirus symptoms, or who have someone in their household who does, do not attend school and seek immediately to get tested. If a child shows symptoms of the virus whilst at school, they will be put in a room away from others (Headteacher’s Office) and parents will be contacted immediately to collect the child. </w:t>
      </w:r>
      <w:r>
        <w:rPr>
          <w:b/>
          <w:bCs/>
          <w:bdr w:val="none" w:sz="0" w:space="0" w:color="auto" w:frame="1"/>
        </w:rPr>
        <w:t>Please provide up to date contact details and ensure that there is always someone available to collect your child on the day they attend school, should this be needed. If a child / staff member within the pod becomes symptomatic and tests positive –the whole pod with isolate for 14 days.</w:t>
      </w:r>
    </w:p>
    <w:p>
      <w:pPr>
        <w:pStyle w:val="Default"/>
        <w:rPr>
          <w:rFonts w:asciiTheme="minorHAnsi" w:hAnsiTheme="minorHAnsi" w:cstheme="minorHAnsi"/>
          <w:color w:val="auto"/>
        </w:rPr>
      </w:pPr>
    </w:p>
    <w:p>
      <w:pPr>
        <w:pStyle w:val="Default"/>
        <w:rPr>
          <w:color w:val="auto"/>
        </w:rPr>
      </w:pPr>
      <w:r>
        <w:rPr>
          <w:b/>
          <w:bCs/>
          <w:color w:val="auto"/>
        </w:rPr>
        <w:t xml:space="preserve">Overcoming Challenges </w:t>
      </w:r>
    </w:p>
    <w:p>
      <w:pPr>
        <w:pStyle w:val="Default"/>
        <w:rPr>
          <w:color w:val="FF0000"/>
        </w:rPr>
      </w:pPr>
      <w:r>
        <w:rPr>
          <w:color w:val="auto"/>
        </w:rPr>
        <w:t xml:space="preserve">Achieving the aims outlined above present many challenges. In order to share the contents of key actions and measures contained in the plan, information will be shared on the school website with parents. A letter prior to the phased return of pupils will also be shared on the website and on the school’s twitter feed. This letter will aim to reassure parents by referring to the plan that has been devised and put in place in order to enable the return of learners to be as safe as possible whilst minimising risk of infection. </w:t>
      </w:r>
    </w:p>
    <w:p>
      <w:pPr>
        <w:pStyle w:val="Default"/>
        <w:rPr>
          <w:rFonts w:asciiTheme="minorHAnsi" w:hAnsiTheme="minorHAnsi" w:cstheme="minorHAnsi"/>
          <w:color w:val="auto"/>
        </w:rPr>
      </w:pPr>
    </w:p>
    <w:p>
      <w:pPr>
        <w:pStyle w:val="Default"/>
        <w:numPr>
          <w:ilvl w:val="0"/>
          <w:numId w:val="2"/>
        </w:numPr>
        <w:rPr>
          <w:b/>
          <w:bCs/>
          <w:color w:val="auto"/>
        </w:rPr>
      </w:pPr>
      <w:r>
        <w:rPr>
          <w:b/>
          <w:bCs/>
          <w:color w:val="auto"/>
        </w:rPr>
        <w:t>Lack of corridor space</w:t>
      </w:r>
      <w:r>
        <w:rPr>
          <w:color w:val="auto"/>
        </w:rPr>
        <w:t xml:space="preserve">. The corridor areas will require constant monitoring to ensure social distancing at times of movement. The possibility of pupils crossing in the corridor will also be minimised through the use of different exits and entries for each pod present on any one day, the use of different toilets for each pod of pupils where possible (see below), Cl3 FPh and Cl4 pupils being escorted to the bathroom and the staggering of playtimes and lunch play. </w:t>
      </w:r>
      <w:r>
        <w:rPr>
          <w:bdr w:val="none" w:sz="0" w:space="0" w:color="auto" w:frame="1"/>
        </w:rPr>
        <w:t>There will be no Assembly or gatherings in the hall or corridors.</w:t>
      </w:r>
    </w:p>
    <w:p>
      <w:pPr>
        <w:pStyle w:val="Default"/>
        <w:spacing w:after="19"/>
        <w:ind w:left="720"/>
        <w:rPr>
          <w:color w:val="auto"/>
        </w:rPr>
      </w:pPr>
    </w:p>
    <w:p>
      <w:pPr>
        <w:pStyle w:val="Default"/>
        <w:numPr>
          <w:ilvl w:val="0"/>
          <w:numId w:val="2"/>
        </w:numPr>
        <w:rPr>
          <w:color w:val="auto"/>
        </w:rPr>
      </w:pPr>
      <w:r>
        <w:rPr>
          <w:b/>
          <w:bCs/>
          <w:color w:val="auto"/>
        </w:rPr>
        <w:t>Potential shortage of staff</w:t>
      </w:r>
      <w:r>
        <w:rPr>
          <w:color w:val="auto"/>
        </w:rPr>
        <w:t xml:space="preserve">. Each pod will have at least two members of staff to teach and care for the children. Our normal staff team has enough capacity for this. The initial focus will be on checking in and catching up with our pupils from Year 1-6, with the exception of younger pupils including Nursery and Reception pupils attending our LSC and hub provision. In the event of staff being taken ill, other school staff will be used to cover. </w:t>
      </w:r>
    </w:p>
    <w:p>
      <w:pPr>
        <w:pStyle w:val="Default"/>
        <w:rPr>
          <w:rFonts w:asciiTheme="minorHAnsi" w:hAnsiTheme="minorHAnsi" w:cstheme="minorHAnsi"/>
          <w:color w:val="auto"/>
          <w:highlight w:val="green"/>
        </w:rPr>
      </w:pPr>
    </w:p>
    <w:p>
      <w:pPr>
        <w:pStyle w:val="Default"/>
        <w:numPr>
          <w:ilvl w:val="0"/>
          <w:numId w:val="2"/>
        </w:numPr>
        <w:spacing w:after="5"/>
        <w:rPr>
          <w:color w:val="auto"/>
        </w:rPr>
      </w:pPr>
      <w:r>
        <w:rPr>
          <w:b/>
          <w:bCs/>
          <w:color w:val="auto"/>
        </w:rPr>
        <w:t xml:space="preserve">Transport. </w:t>
      </w:r>
      <w:r>
        <w:rPr>
          <w:color w:val="auto"/>
        </w:rPr>
        <w:t xml:space="preserve">Where possible, children requiring transport who attend the LSC will be transported by parents. Where this is not possible, Neath Port Talbot will provide suitable transport taking account of the NPT Covid 19 guidelines and procedures regarding travelling in vehicles. </w:t>
      </w:r>
    </w:p>
    <w:p>
      <w:pPr>
        <w:pStyle w:val="ListParagraph"/>
      </w:pPr>
    </w:p>
    <w:p>
      <w:pPr>
        <w:pStyle w:val="Default"/>
        <w:numPr>
          <w:ilvl w:val="0"/>
          <w:numId w:val="2"/>
        </w:numPr>
        <w:rPr>
          <w:color w:val="auto"/>
        </w:rPr>
      </w:pPr>
      <w:r>
        <w:rPr>
          <w:b/>
          <w:color w:val="auto"/>
        </w:rPr>
        <w:lastRenderedPageBreak/>
        <w:t xml:space="preserve">Intimate Care and First Aid.  </w:t>
      </w:r>
      <w:r>
        <w:rPr>
          <w:bCs/>
          <w:color w:val="auto"/>
        </w:rPr>
        <w:t>S</w:t>
      </w:r>
      <w:r>
        <w:rPr>
          <w:color w:val="auto"/>
        </w:rPr>
        <w:t>taff who need to provide pupils with first aid will use appropriate PPE. Staff who provide younger pupils in our LSC or hub provision with intimate care will have access to PPE items: disposable gloves, disposable aprons and if considered necessary, goggles/face guard.</w:t>
      </w:r>
    </w:p>
    <w:p>
      <w:pPr>
        <w:pStyle w:val="Default"/>
        <w:rPr>
          <w:color w:val="auto"/>
        </w:rPr>
      </w:pPr>
    </w:p>
    <w:p>
      <w:pPr>
        <w:pStyle w:val="Default"/>
        <w:numPr>
          <w:ilvl w:val="0"/>
          <w:numId w:val="2"/>
        </w:numPr>
        <w:spacing w:after="5"/>
        <w:rPr>
          <w:color w:val="auto"/>
        </w:rPr>
      </w:pPr>
      <w:r>
        <w:rPr>
          <w:b/>
          <w:bCs/>
          <w:color w:val="auto"/>
        </w:rPr>
        <w:t>Visitors to school.</w:t>
      </w:r>
      <w:r>
        <w:rPr>
          <w:color w:val="auto"/>
        </w:rPr>
        <w:t xml:space="preserve"> Visitors to school will be discouraged unless carrying out essential maintenance or health and safety testing. Parents are politely requested not to enter the yard and school buildings unless absolutely necessary following communication with the school to allow them to do so. </w:t>
      </w:r>
    </w:p>
    <w:p>
      <w:pPr>
        <w:pStyle w:val="Default"/>
        <w:ind w:left="720"/>
        <w:rPr>
          <w:color w:val="auto"/>
        </w:rPr>
      </w:pPr>
    </w:p>
    <w:p>
      <w:pPr>
        <w:pStyle w:val="Default"/>
        <w:numPr>
          <w:ilvl w:val="0"/>
          <w:numId w:val="2"/>
        </w:numPr>
        <w:rPr>
          <w:color w:val="auto"/>
        </w:rPr>
      </w:pPr>
      <w:r>
        <w:rPr>
          <w:b/>
          <w:bCs/>
          <w:color w:val="auto"/>
        </w:rPr>
        <w:t xml:space="preserve">School uniform. </w:t>
      </w:r>
      <w:r>
        <w:rPr>
          <w:color w:val="auto"/>
        </w:rPr>
        <w:t xml:space="preserve">Uniform will not have to be worn. Items of clothing that are comfortable and easily washable are recommended. </w:t>
      </w:r>
    </w:p>
    <w:p>
      <w:pPr>
        <w:pStyle w:val="ListParagraph"/>
      </w:pPr>
    </w:p>
    <w:p>
      <w:pPr>
        <w:pStyle w:val="Default"/>
        <w:numPr>
          <w:ilvl w:val="0"/>
          <w:numId w:val="2"/>
        </w:numPr>
        <w:rPr>
          <w:color w:val="auto"/>
        </w:rPr>
      </w:pPr>
      <w:r>
        <w:rPr>
          <w:b/>
          <w:bCs/>
          <w:color w:val="auto"/>
        </w:rPr>
        <w:t xml:space="preserve">School dinners. </w:t>
      </w:r>
      <w:r>
        <w:rPr>
          <w:color w:val="auto"/>
        </w:rPr>
        <w:t xml:space="preserve">A hot meal will be available for pupils every day. Alternatively, pupils can bring in packed lunches and plastic flasks/bottles. Parents are asked to ensure that these are cleaned thoroughly before they are re-used again the following day. </w:t>
      </w:r>
    </w:p>
    <w:p>
      <w:pPr>
        <w:pStyle w:val="ListParagraph"/>
      </w:pPr>
    </w:p>
    <w:p>
      <w:pPr>
        <w:pStyle w:val="Default"/>
        <w:numPr>
          <w:ilvl w:val="0"/>
          <w:numId w:val="2"/>
        </w:numPr>
        <w:rPr>
          <w:b/>
          <w:bCs/>
        </w:rPr>
      </w:pPr>
      <w:r>
        <w:rPr>
          <w:b/>
          <w:bCs/>
          <w:color w:val="auto"/>
        </w:rPr>
        <w:t xml:space="preserve">School bags and coats. </w:t>
      </w:r>
      <w:r>
        <w:rPr>
          <w:color w:val="auto"/>
        </w:rPr>
        <w:t>It is recommended that pupils bring as few items as possible into school. Pupil’s coats will be kept within the class pod.</w:t>
      </w:r>
      <w:r>
        <w:rPr>
          <w:b/>
          <w:bCs/>
          <w:color w:val="auto"/>
        </w:rPr>
        <w:t xml:space="preserve"> </w:t>
      </w:r>
      <w:r>
        <w:rPr>
          <w:bdr w:val="none" w:sz="0" w:space="0" w:color="auto" w:frame="1"/>
        </w:rPr>
        <w:t>Each child will have their own set / pack of stationary to use provided by school.</w:t>
      </w:r>
    </w:p>
    <w:p>
      <w:pPr>
        <w:pStyle w:val="Default"/>
        <w:rPr>
          <w:b/>
          <w:bCs/>
        </w:rPr>
      </w:pPr>
    </w:p>
    <w:p>
      <w:pPr>
        <w:pStyle w:val="Default"/>
        <w:numPr>
          <w:ilvl w:val="0"/>
          <w:numId w:val="2"/>
        </w:numPr>
        <w:rPr>
          <w:color w:val="auto"/>
        </w:rPr>
      </w:pPr>
      <w:r>
        <w:rPr>
          <w:b/>
          <w:bCs/>
          <w:color w:val="auto"/>
        </w:rPr>
        <w:t xml:space="preserve">Implications for after school care. </w:t>
      </w:r>
      <w:r>
        <w:rPr>
          <w:color w:val="auto"/>
        </w:rPr>
        <w:t>In order to minimise the risk of transmission by having children mixing in different clubs after school, after-school clubs will not re-start this term.</w:t>
      </w:r>
    </w:p>
    <w:p>
      <w:pPr>
        <w:pStyle w:val="Default"/>
        <w:rPr>
          <w:color w:val="auto"/>
        </w:rPr>
      </w:pPr>
    </w:p>
    <w:p>
      <w:pPr>
        <w:pStyle w:val="Default"/>
        <w:rPr>
          <w:b/>
          <w:bCs/>
          <w:color w:val="auto"/>
          <w:u w:val="single"/>
        </w:rPr>
      </w:pPr>
    </w:p>
    <w:p>
      <w:pPr>
        <w:pStyle w:val="Default"/>
        <w:rPr>
          <w:b/>
          <w:bCs/>
          <w:color w:val="auto"/>
          <w:u w:val="single"/>
        </w:rPr>
      </w:pPr>
    </w:p>
    <w:p>
      <w:pPr>
        <w:pStyle w:val="Default"/>
        <w:rPr>
          <w:b/>
          <w:bCs/>
          <w:color w:val="auto"/>
          <w:u w:val="single"/>
        </w:rPr>
      </w:pPr>
    </w:p>
    <w:p>
      <w:pPr>
        <w:pStyle w:val="Default"/>
        <w:rPr>
          <w:b/>
          <w:bCs/>
          <w:color w:val="auto"/>
          <w:u w:val="single"/>
        </w:rPr>
      </w:pPr>
    </w:p>
    <w:p>
      <w:pPr>
        <w:pStyle w:val="Default"/>
        <w:rPr>
          <w:b/>
          <w:bCs/>
          <w:color w:val="auto"/>
          <w:u w:val="single"/>
        </w:rPr>
      </w:pPr>
    </w:p>
    <w:p>
      <w:pPr>
        <w:pStyle w:val="Default"/>
        <w:rPr>
          <w:b/>
          <w:bCs/>
          <w:color w:val="auto"/>
          <w:u w:val="single"/>
        </w:rPr>
      </w:pPr>
    </w:p>
    <w:p>
      <w:pPr>
        <w:pStyle w:val="Default"/>
        <w:rPr>
          <w:b/>
          <w:bCs/>
          <w:color w:val="auto"/>
          <w:u w:val="single"/>
        </w:rPr>
      </w:pPr>
    </w:p>
    <w:p>
      <w:pPr>
        <w:pStyle w:val="Default"/>
        <w:rPr>
          <w:b/>
          <w:bCs/>
          <w:color w:val="auto"/>
          <w:u w:val="single"/>
        </w:rPr>
      </w:pPr>
    </w:p>
    <w:p>
      <w:pPr>
        <w:pStyle w:val="Default"/>
        <w:rPr>
          <w:b/>
          <w:bCs/>
          <w:color w:val="auto"/>
          <w:u w:val="single"/>
        </w:rPr>
      </w:pPr>
    </w:p>
    <w:p>
      <w:pPr>
        <w:pStyle w:val="Default"/>
        <w:rPr>
          <w:b/>
          <w:bCs/>
          <w:color w:val="auto"/>
          <w:u w:val="single"/>
        </w:rPr>
      </w:pPr>
    </w:p>
    <w:p>
      <w:pPr>
        <w:pStyle w:val="Default"/>
        <w:rPr>
          <w:b/>
          <w:bCs/>
          <w:color w:val="auto"/>
          <w:u w:val="single"/>
        </w:rPr>
      </w:pPr>
    </w:p>
    <w:p>
      <w:pPr>
        <w:pStyle w:val="Default"/>
        <w:rPr>
          <w:b/>
          <w:bCs/>
          <w:color w:val="auto"/>
          <w:u w:val="single"/>
        </w:rPr>
      </w:pPr>
    </w:p>
    <w:p>
      <w:pPr>
        <w:pStyle w:val="Default"/>
        <w:rPr>
          <w:b/>
          <w:bCs/>
          <w:color w:val="auto"/>
          <w:u w:val="single"/>
        </w:rPr>
      </w:pPr>
    </w:p>
    <w:p>
      <w:pPr>
        <w:pStyle w:val="Default"/>
        <w:rPr>
          <w:b/>
          <w:bCs/>
          <w:color w:val="auto"/>
          <w:u w:val="single"/>
        </w:rPr>
      </w:pPr>
    </w:p>
    <w:p>
      <w:pPr>
        <w:pStyle w:val="Default"/>
        <w:rPr>
          <w:b/>
          <w:bCs/>
          <w:color w:val="auto"/>
          <w:u w:val="single"/>
        </w:rPr>
      </w:pPr>
    </w:p>
    <w:p>
      <w:pPr>
        <w:pStyle w:val="Default"/>
        <w:rPr>
          <w:b/>
          <w:bCs/>
          <w:color w:val="auto"/>
          <w:u w:val="single"/>
        </w:rPr>
      </w:pPr>
    </w:p>
    <w:p>
      <w:pPr>
        <w:pStyle w:val="Default"/>
        <w:rPr>
          <w:color w:val="auto"/>
          <w:u w:val="single"/>
        </w:rPr>
      </w:pPr>
      <w:r>
        <w:rPr>
          <w:b/>
          <w:bCs/>
          <w:color w:val="auto"/>
          <w:u w:val="single"/>
        </w:rPr>
        <w:t xml:space="preserve">School Plan for Start and End of Day . </w:t>
      </w:r>
      <w:r>
        <w:rPr>
          <w:color w:val="auto"/>
          <w:u w:val="single"/>
        </w:rPr>
        <w:t>(</w:t>
      </w:r>
      <w:r>
        <w:rPr>
          <w:color w:val="auto"/>
        </w:rPr>
        <w:t>Please see CAD map in Appendix 4 noting the location of these entrances)</w:t>
      </w:r>
    </w:p>
    <w:p>
      <w:pPr>
        <w:pStyle w:val="Default"/>
        <w:rPr>
          <w:b/>
          <w:bCs/>
          <w:shd w:val="clear" w:color="auto" w:fill="FFFFFF"/>
        </w:rPr>
      </w:pPr>
    </w:p>
    <w:p>
      <w:pPr>
        <w:pStyle w:val="Default"/>
        <w:rPr>
          <w:b/>
          <w:bCs/>
          <w:shd w:val="clear" w:color="auto" w:fill="FFFFFF"/>
        </w:rPr>
      </w:pPr>
      <w:r>
        <w:rPr>
          <w:b/>
          <w:bCs/>
          <w:shd w:val="clear" w:color="auto" w:fill="FFFFFF"/>
        </w:rPr>
        <w:t>Parents / Carers are encouraged to walk their children to school to decrease congestion.</w:t>
      </w:r>
    </w:p>
    <w:p>
      <w:pPr>
        <w:pStyle w:val="Default"/>
        <w:rPr>
          <w:b/>
          <w:bCs/>
          <w:color w:val="auto"/>
        </w:rPr>
      </w:pPr>
    </w:p>
    <w:tbl>
      <w:tblPr>
        <w:tblStyle w:val="TableGrid"/>
        <w:tblW w:w="0" w:type="auto"/>
        <w:tblInd w:w="-5" w:type="dxa"/>
        <w:tblLook w:val="04A0" w:firstRow="1" w:lastRow="0" w:firstColumn="1" w:lastColumn="0" w:noHBand="0" w:noVBand="1"/>
      </w:tblPr>
      <w:tblGrid>
        <w:gridCol w:w="3615"/>
        <w:gridCol w:w="3172"/>
        <w:gridCol w:w="3597"/>
        <w:gridCol w:w="3569"/>
      </w:tblGrid>
      <w:tr>
        <w:tc>
          <w:tcPr>
            <w:tcW w:w="3615" w:type="dxa"/>
          </w:tcPr>
          <w:p>
            <w:pPr>
              <w:pStyle w:val="Default"/>
              <w:jc w:val="center"/>
              <w:rPr>
                <w:color w:val="auto"/>
              </w:rPr>
            </w:pPr>
            <w:r>
              <w:rPr>
                <w:color w:val="auto"/>
              </w:rPr>
              <w:t>Entrances/Exits to be used</w:t>
            </w:r>
          </w:p>
        </w:tc>
        <w:tc>
          <w:tcPr>
            <w:tcW w:w="3172" w:type="dxa"/>
          </w:tcPr>
          <w:p>
            <w:pPr>
              <w:pStyle w:val="Default"/>
              <w:jc w:val="center"/>
              <w:rPr>
                <w:color w:val="auto"/>
              </w:rPr>
            </w:pPr>
            <w:r>
              <w:rPr>
                <w:color w:val="auto"/>
              </w:rPr>
              <w:t>Pod</w:t>
            </w:r>
          </w:p>
        </w:tc>
        <w:tc>
          <w:tcPr>
            <w:tcW w:w="3597" w:type="dxa"/>
          </w:tcPr>
          <w:p>
            <w:pPr>
              <w:pStyle w:val="Default"/>
              <w:jc w:val="center"/>
              <w:rPr>
                <w:color w:val="auto"/>
              </w:rPr>
            </w:pPr>
            <w:r>
              <w:rPr>
                <w:color w:val="auto"/>
              </w:rPr>
              <w:t>Entrance and Exit to be used</w:t>
            </w:r>
          </w:p>
        </w:tc>
        <w:tc>
          <w:tcPr>
            <w:tcW w:w="3569" w:type="dxa"/>
          </w:tcPr>
          <w:p>
            <w:pPr>
              <w:pStyle w:val="Default"/>
              <w:jc w:val="center"/>
              <w:rPr>
                <w:color w:val="auto"/>
              </w:rPr>
            </w:pPr>
            <w:r>
              <w:rPr>
                <w:color w:val="auto"/>
              </w:rPr>
              <w:t>Time of entry and Exit</w:t>
            </w:r>
          </w:p>
        </w:tc>
      </w:tr>
      <w:tr>
        <w:tc>
          <w:tcPr>
            <w:tcW w:w="3615" w:type="dxa"/>
          </w:tcPr>
          <w:p>
            <w:pPr>
              <w:pStyle w:val="Default"/>
              <w:jc w:val="center"/>
              <w:rPr>
                <w:color w:val="auto"/>
              </w:rPr>
            </w:pPr>
            <w:r>
              <w:rPr>
                <w:noProof/>
                <w:lang w:eastAsia="en-GB"/>
              </w:rPr>
              <w:drawing>
                <wp:inline distT="0" distB="0" distL="0" distR="0">
                  <wp:extent cx="1685545" cy="17392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2708" cy="1756975"/>
                          </a:xfrm>
                          <a:prstGeom prst="rect">
                            <a:avLst/>
                          </a:prstGeom>
                        </pic:spPr>
                      </pic:pic>
                    </a:graphicData>
                  </a:graphic>
                </wp:inline>
              </w:drawing>
            </w:r>
          </w:p>
        </w:tc>
        <w:tc>
          <w:tcPr>
            <w:tcW w:w="3172" w:type="dxa"/>
          </w:tcPr>
          <w:p>
            <w:pPr>
              <w:pStyle w:val="Default"/>
              <w:rPr>
                <w:color w:val="auto"/>
              </w:rPr>
            </w:pPr>
            <w:r>
              <w:rPr>
                <w:color w:val="auto"/>
              </w:rPr>
              <w:t>LSC</w:t>
            </w:r>
          </w:p>
          <w:p>
            <w:pPr>
              <w:pStyle w:val="Default"/>
              <w:rPr>
                <w:color w:val="auto"/>
              </w:rPr>
            </w:pPr>
            <w:r>
              <w:rPr>
                <w:color w:val="auto"/>
              </w:rPr>
              <w:t>Class 1/Class 6 pod</w:t>
            </w:r>
            <w:r>
              <w:rPr>
                <w:color w:val="auto"/>
              </w:rPr>
              <w:t xml:space="preserve"> (in alternate days)</w:t>
            </w:r>
          </w:p>
        </w:tc>
        <w:tc>
          <w:tcPr>
            <w:tcW w:w="3597" w:type="dxa"/>
          </w:tcPr>
          <w:p>
            <w:pPr>
              <w:pStyle w:val="Default"/>
              <w:rPr>
                <w:color w:val="auto"/>
              </w:rPr>
            </w:pPr>
            <w:r>
              <w:rPr>
                <w:color w:val="auto"/>
              </w:rPr>
              <w:t xml:space="preserve">Main entrance gates Main Road. </w:t>
            </w:r>
          </w:p>
          <w:p>
            <w:pPr>
              <w:pStyle w:val="Default"/>
              <w:rPr>
                <w:color w:val="auto"/>
              </w:rPr>
            </w:pPr>
            <w:r>
              <w:rPr>
                <w:color w:val="auto"/>
              </w:rPr>
              <w:t>Children to be taken through the ‘quiet yard’ into the LSC entrance</w:t>
            </w:r>
          </w:p>
        </w:tc>
        <w:tc>
          <w:tcPr>
            <w:tcW w:w="3569" w:type="dxa"/>
          </w:tcPr>
          <w:p>
            <w:pPr>
              <w:pStyle w:val="Default"/>
              <w:rPr>
                <w:color w:val="auto"/>
              </w:rPr>
            </w:pPr>
            <w:r>
              <w:rPr>
                <w:color w:val="auto"/>
              </w:rPr>
              <w:t>Staff to collect children from taxi/parent at school gate 8:50am.</w:t>
            </w:r>
          </w:p>
          <w:p>
            <w:pPr>
              <w:pStyle w:val="Default"/>
              <w:rPr>
                <w:color w:val="auto"/>
              </w:rPr>
            </w:pPr>
            <w:r>
              <w:rPr>
                <w:color w:val="auto"/>
              </w:rPr>
              <w:t>Nursery child to be collected 11:30am</w:t>
            </w:r>
          </w:p>
          <w:p>
            <w:pPr>
              <w:pStyle w:val="Default"/>
              <w:rPr>
                <w:color w:val="auto"/>
              </w:rPr>
            </w:pPr>
            <w:r>
              <w:rPr>
                <w:color w:val="auto"/>
              </w:rPr>
              <w:t>Staff to escort children to taxi/parents at school gates 3:20pm</w:t>
            </w:r>
          </w:p>
        </w:tc>
      </w:tr>
      <w:tr>
        <w:tc>
          <w:tcPr>
            <w:tcW w:w="3615" w:type="dxa"/>
          </w:tcPr>
          <w:p>
            <w:pPr>
              <w:pStyle w:val="Default"/>
              <w:jc w:val="center"/>
              <w:rPr>
                <w:color w:val="auto"/>
              </w:rPr>
            </w:pPr>
            <w:r>
              <w:rPr>
                <w:noProof/>
                <w:lang w:eastAsia="en-GB"/>
              </w:rPr>
              <w:drawing>
                <wp:inline distT="0" distB="0" distL="0" distR="0">
                  <wp:extent cx="1687830" cy="1818506"/>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04956" cy="1836958"/>
                          </a:xfrm>
                          <a:prstGeom prst="rect">
                            <a:avLst/>
                          </a:prstGeom>
                        </pic:spPr>
                      </pic:pic>
                    </a:graphicData>
                  </a:graphic>
                </wp:inline>
              </w:drawing>
            </w:r>
          </w:p>
        </w:tc>
        <w:tc>
          <w:tcPr>
            <w:tcW w:w="3172" w:type="dxa"/>
          </w:tcPr>
          <w:p>
            <w:pPr>
              <w:pStyle w:val="Default"/>
              <w:rPr>
                <w:color w:val="auto"/>
              </w:rPr>
            </w:pPr>
            <w:r>
              <w:rPr>
                <w:color w:val="auto"/>
              </w:rPr>
              <w:t>Hub provision</w:t>
            </w:r>
          </w:p>
        </w:tc>
        <w:tc>
          <w:tcPr>
            <w:tcW w:w="3597" w:type="dxa"/>
          </w:tcPr>
          <w:p>
            <w:pPr>
              <w:pStyle w:val="Default"/>
              <w:rPr>
                <w:color w:val="auto"/>
              </w:rPr>
            </w:pPr>
            <w:r>
              <w:rPr>
                <w:color w:val="auto"/>
              </w:rPr>
              <w:t>Nursery yard entrance on School Road</w:t>
            </w:r>
          </w:p>
        </w:tc>
        <w:tc>
          <w:tcPr>
            <w:tcW w:w="3569" w:type="dxa"/>
          </w:tcPr>
          <w:p>
            <w:pPr>
              <w:pStyle w:val="Default"/>
              <w:rPr>
                <w:color w:val="auto"/>
              </w:rPr>
            </w:pPr>
            <w:r>
              <w:rPr>
                <w:color w:val="auto"/>
              </w:rPr>
              <w:t xml:space="preserve">Children to arrive at varying times </w:t>
            </w:r>
            <w:r>
              <w:rPr>
                <w:color w:val="auto"/>
              </w:rPr>
              <w:t xml:space="preserve">and </w:t>
            </w:r>
            <w:r>
              <w:rPr>
                <w:color w:val="auto"/>
              </w:rPr>
              <w:t xml:space="preserve">are </w:t>
            </w:r>
            <w:r>
              <w:rPr>
                <w:color w:val="auto"/>
              </w:rPr>
              <w:t>met by staff</w:t>
            </w:r>
          </w:p>
          <w:p>
            <w:pPr>
              <w:pStyle w:val="Default"/>
              <w:rPr>
                <w:color w:val="auto"/>
              </w:rPr>
            </w:pPr>
            <w:r>
              <w:rPr>
                <w:color w:val="auto"/>
              </w:rPr>
              <w:t>Children to be collected at varying times up to 3:20pm</w:t>
            </w:r>
          </w:p>
        </w:tc>
      </w:tr>
      <w:tr>
        <w:tc>
          <w:tcPr>
            <w:tcW w:w="3615" w:type="dxa"/>
          </w:tcPr>
          <w:p>
            <w:pPr>
              <w:pStyle w:val="Default"/>
              <w:jc w:val="center"/>
              <w:rPr>
                <w:color w:val="auto"/>
              </w:rPr>
            </w:pPr>
            <w:r>
              <w:rPr>
                <w:noProof/>
                <w:lang w:eastAsia="en-GB"/>
              </w:rPr>
              <w:drawing>
                <wp:inline distT="0" distB="0" distL="0" distR="0">
                  <wp:extent cx="1619250" cy="1447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66228" cy="1489804"/>
                          </a:xfrm>
                          <a:prstGeom prst="rect">
                            <a:avLst/>
                          </a:prstGeom>
                        </pic:spPr>
                      </pic:pic>
                    </a:graphicData>
                  </a:graphic>
                </wp:inline>
              </w:drawing>
            </w:r>
          </w:p>
        </w:tc>
        <w:tc>
          <w:tcPr>
            <w:tcW w:w="3172" w:type="dxa"/>
          </w:tcPr>
          <w:p>
            <w:pPr>
              <w:pStyle w:val="Default"/>
              <w:rPr>
                <w:color w:val="auto"/>
              </w:rPr>
            </w:pPr>
            <w:r>
              <w:rPr>
                <w:color w:val="auto"/>
              </w:rPr>
              <w:t>Class 3 pod</w:t>
            </w:r>
            <w:r>
              <w:rPr>
                <w:color w:val="auto"/>
              </w:rPr>
              <w:t xml:space="preserve"> 1 and 2 (in alternate days)</w:t>
            </w:r>
          </w:p>
        </w:tc>
        <w:tc>
          <w:tcPr>
            <w:tcW w:w="3597" w:type="dxa"/>
          </w:tcPr>
          <w:p>
            <w:pPr>
              <w:pStyle w:val="Default"/>
              <w:rPr>
                <w:color w:val="auto"/>
              </w:rPr>
            </w:pPr>
            <w:r>
              <w:rPr>
                <w:color w:val="auto"/>
              </w:rPr>
              <w:t>Highland Crescent entrance</w:t>
            </w:r>
          </w:p>
        </w:tc>
        <w:tc>
          <w:tcPr>
            <w:tcW w:w="3569" w:type="dxa"/>
          </w:tcPr>
          <w:p>
            <w:pPr>
              <w:pStyle w:val="Default"/>
              <w:rPr>
                <w:color w:val="auto"/>
              </w:rPr>
            </w:pPr>
            <w:r>
              <w:rPr>
                <w:color w:val="auto"/>
              </w:rPr>
              <w:t>Children to arrive at 9am and met by staff at gate. Children to be collected at 3:30pm.</w:t>
            </w:r>
          </w:p>
        </w:tc>
      </w:tr>
      <w:tr>
        <w:tc>
          <w:tcPr>
            <w:tcW w:w="3615" w:type="dxa"/>
          </w:tcPr>
          <w:p>
            <w:pPr>
              <w:pStyle w:val="Default"/>
              <w:jc w:val="center"/>
              <w:rPr>
                <w:color w:val="auto"/>
              </w:rPr>
            </w:pPr>
            <w:r>
              <w:rPr>
                <w:noProof/>
                <w:lang w:eastAsia="en-GB"/>
              </w:rPr>
              <w:drawing>
                <wp:inline distT="0" distB="0" distL="0" distR="0">
                  <wp:extent cx="1590295" cy="17392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05690" cy="1756103"/>
                          </a:xfrm>
                          <a:prstGeom prst="rect">
                            <a:avLst/>
                          </a:prstGeom>
                        </pic:spPr>
                      </pic:pic>
                    </a:graphicData>
                  </a:graphic>
                </wp:inline>
              </w:drawing>
            </w:r>
          </w:p>
        </w:tc>
        <w:tc>
          <w:tcPr>
            <w:tcW w:w="3172" w:type="dxa"/>
          </w:tcPr>
          <w:p>
            <w:pPr>
              <w:pStyle w:val="Default"/>
              <w:rPr>
                <w:color w:val="auto"/>
              </w:rPr>
            </w:pPr>
            <w:r>
              <w:rPr>
                <w:color w:val="auto"/>
              </w:rPr>
              <w:t>Class 4 pod</w:t>
            </w:r>
            <w:r>
              <w:rPr>
                <w:color w:val="auto"/>
              </w:rPr>
              <w:t xml:space="preserve"> 1 and 2 and 3 (in alternate days) </w:t>
            </w:r>
          </w:p>
        </w:tc>
        <w:tc>
          <w:tcPr>
            <w:tcW w:w="3597" w:type="dxa"/>
          </w:tcPr>
          <w:p>
            <w:pPr>
              <w:pStyle w:val="Default"/>
              <w:rPr>
                <w:color w:val="auto"/>
              </w:rPr>
            </w:pPr>
            <w:r>
              <w:rPr>
                <w:color w:val="auto"/>
              </w:rPr>
              <w:t xml:space="preserve">Main Road entrance school gates. Children to be taken through the bottom yard, up the steps to the upper yard and in through the door in main corridor </w:t>
            </w:r>
          </w:p>
        </w:tc>
        <w:tc>
          <w:tcPr>
            <w:tcW w:w="3569" w:type="dxa"/>
          </w:tcPr>
          <w:p>
            <w:pPr>
              <w:pStyle w:val="Default"/>
              <w:rPr>
                <w:color w:val="auto"/>
              </w:rPr>
            </w:pPr>
            <w:r>
              <w:rPr>
                <w:color w:val="auto"/>
              </w:rPr>
              <w:t>Children to arrive at 8:40am and met by staff.</w:t>
            </w:r>
          </w:p>
          <w:p>
            <w:pPr>
              <w:pStyle w:val="Default"/>
              <w:rPr>
                <w:color w:val="auto"/>
              </w:rPr>
            </w:pPr>
            <w:r>
              <w:rPr>
                <w:color w:val="auto"/>
              </w:rPr>
              <w:t>Children to be collected at 3:10pm</w:t>
            </w:r>
          </w:p>
        </w:tc>
      </w:tr>
      <w:tr>
        <w:tc>
          <w:tcPr>
            <w:tcW w:w="3615" w:type="dxa"/>
          </w:tcPr>
          <w:p>
            <w:pPr>
              <w:pStyle w:val="Default"/>
              <w:jc w:val="center"/>
              <w:rPr>
                <w:color w:val="auto"/>
              </w:rPr>
            </w:pPr>
            <w:r>
              <w:rPr>
                <w:noProof/>
                <w:lang w:eastAsia="en-GB"/>
              </w:rPr>
              <w:drawing>
                <wp:inline distT="0" distB="0" distL="0" distR="0">
                  <wp:extent cx="1666506" cy="19551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79100" cy="1969940"/>
                          </a:xfrm>
                          <a:prstGeom prst="rect">
                            <a:avLst/>
                          </a:prstGeom>
                        </pic:spPr>
                      </pic:pic>
                    </a:graphicData>
                  </a:graphic>
                </wp:inline>
              </w:drawing>
            </w:r>
          </w:p>
        </w:tc>
        <w:tc>
          <w:tcPr>
            <w:tcW w:w="3172" w:type="dxa"/>
          </w:tcPr>
          <w:p>
            <w:pPr>
              <w:pStyle w:val="Default"/>
              <w:rPr>
                <w:color w:val="auto"/>
              </w:rPr>
            </w:pPr>
            <w:r>
              <w:rPr>
                <w:color w:val="auto"/>
              </w:rPr>
              <w:t>Class 5 pod</w:t>
            </w:r>
            <w:r>
              <w:rPr>
                <w:color w:val="auto"/>
              </w:rPr>
              <w:t xml:space="preserve"> 1 and 2 (in alternate days)</w:t>
            </w:r>
          </w:p>
        </w:tc>
        <w:tc>
          <w:tcPr>
            <w:tcW w:w="3597" w:type="dxa"/>
          </w:tcPr>
          <w:p>
            <w:pPr>
              <w:pStyle w:val="Default"/>
              <w:rPr>
                <w:color w:val="auto"/>
              </w:rPr>
            </w:pPr>
            <w:r>
              <w:rPr>
                <w:color w:val="auto"/>
              </w:rPr>
              <w:t>School Road entrance, main school door.</w:t>
            </w:r>
          </w:p>
        </w:tc>
        <w:tc>
          <w:tcPr>
            <w:tcW w:w="3569" w:type="dxa"/>
          </w:tcPr>
          <w:p>
            <w:pPr>
              <w:pStyle w:val="Default"/>
              <w:rPr>
                <w:color w:val="auto"/>
              </w:rPr>
            </w:pPr>
            <w:r>
              <w:rPr>
                <w:color w:val="auto"/>
              </w:rPr>
              <w:t>Children to arrive at 8:50am and met by staff. Children to be collected/sent home at 3:20pm.</w:t>
            </w:r>
          </w:p>
        </w:tc>
      </w:tr>
    </w:tbl>
    <w:p>
      <w:pPr>
        <w:pStyle w:val="Default"/>
        <w:rPr>
          <w:rFonts w:asciiTheme="minorHAnsi" w:hAnsiTheme="minorHAnsi" w:cstheme="minorHAnsi"/>
          <w:color w:val="auto"/>
        </w:rPr>
      </w:pPr>
    </w:p>
    <w:p>
      <w:pPr>
        <w:pStyle w:val="Default"/>
        <w:rPr>
          <w:bdr w:val="none" w:sz="0" w:space="0" w:color="auto" w:frame="1"/>
        </w:rPr>
      </w:pPr>
      <w:r>
        <w:rPr>
          <w:bdr w:val="none" w:sz="0" w:space="0" w:color="auto" w:frame="1"/>
        </w:rPr>
        <w:t>Contact time with pupils will focus on:</w:t>
      </w:r>
    </w:p>
    <w:p>
      <w:pPr>
        <w:pStyle w:val="Default"/>
        <w:numPr>
          <w:ilvl w:val="0"/>
          <w:numId w:val="61"/>
        </w:numPr>
        <w:rPr>
          <w:bdr w:val="none" w:sz="0" w:space="0" w:color="auto" w:frame="1"/>
        </w:rPr>
      </w:pPr>
      <w:r>
        <w:rPr>
          <w:bdr w:val="none" w:sz="0" w:space="0" w:color="auto" w:frame="1"/>
        </w:rPr>
        <w:t xml:space="preserve">Well-being of pupils–care and concerns addressed, and support provided. </w:t>
      </w:r>
    </w:p>
    <w:p>
      <w:pPr>
        <w:pStyle w:val="Default"/>
        <w:numPr>
          <w:ilvl w:val="0"/>
          <w:numId w:val="61"/>
        </w:numPr>
        <w:rPr>
          <w:bdr w:val="none" w:sz="0" w:space="0" w:color="auto" w:frame="1"/>
        </w:rPr>
      </w:pPr>
      <w:r>
        <w:rPr>
          <w:bdr w:val="none" w:sz="0" w:space="0" w:color="auto" w:frame="1"/>
        </w:rPr>
        <w:t xml:space="preserve">Teachers having the chance to catch up with learners and their progress thus far with distance learning. </w:t>
      </w:r>
    </w:p>
    <w:p>
      <w:pPr>
        <w:pStyle w:val="Default"/>
        <w:numPr>
          <w:ilvl w:val="0"/>
          <w:numId w:val="61"/>
        </w:numPr>
        <w:rPr>
          <w:bdr w:val="none" w:sz="0" w:space="0" w:color="auto" w:frame="1"/>
        </w:rPr>
      </w:pPr>
      <w:r>
        <w:rPr>
          <w:bdr w:val="none" w:sz="0" w:space="0" w:color="auto" w:frame="1"/>
        </w:rPr>
        <w:t>Check in with pupils and home learning check-up.</w:t>
      </w:r>
    </w:p>
    <w:p>
      <w:pPr>
        <w:pStyle w:val="Default"/>
        <w:numPr>
          <w:ilvl w:val="0"/>
          <w:numId w:val="61"/>
        </w:numPr>
        <w:rPr>
          <w:bdr w:val="none" w:sz="0" w:space="0" w:color="auto" w:frame="1"/>
        </w:rPr>
      </w:pPr>
      <w:r>
        <w:rPr>
          <w:bdr w:val="none" w:sz="0" w:space="0" w:color="auto" w:frame="1"/>
        </w:rPr>
        <w:t>Preparing for summer and new school year. Year 6 will also have a focus on transition and preparation for Secondary</w:t>
      </w:r>
    </w:p>
    <w:p>
      <w:pPr>
        <w:pStyle w:val="Default"/>
        <w:numPr>
          <w:ilvl w:val="0"/>
          <w:numId w:val="61"/>
        </w:numPr>
        <w:rPr>
          <w:bdr w:val="none" w:sz="0" w:space="0" w:color="auto" w:frame="1"/>
        </w:rPr>
      </w:pPr>
      <w:r>
        <w:rPr>
          <w:bdr w:val="none" w:sz="0" w:space="0" w:color="auto" w:frame="1"/>
        </w:rPr>
        <w:t>Providing work for home learning–packs go home.</w:t>
      </w:r>
    </w:p>
    <w:p>
      <w:pPr>
        <w:pStyle w:val="Default"/>
        <w:numPr>
          <w:ilvl w:val="0"/>
          <w:numId w:val="61"/>
        </w:numPr>
        <w:rPr>
          <w:bdr w:val="none" w:sz="0" w:space="0" w:color="auto" w:frame="1"/>
        </w:rPr>
      </w:pPr>
      <w:r>
        <w:rPr>
          <w:bdr w:val="none" w:sz="0" w:space="0" w:color="auto" w:frame="1"/>
        </w:rPr>
        <w:t>Using the digital learning tools to ensure this aspect is kept current and up to date.</w:t>
      </w:r>
    </w:p>
    <w:p>
      <w:pPr>
        <w:pStyle w:val="Default"/>
        <w:rPr>
          <w:bdr w:val="none" w:sz="0" w:space="0" w:color="auto" w:frame="1"/>
        </w:rPr>
      </w:pPr>
      <w:r>
        <w:rPr>
          <w:bdr w:val="none" w:sz="0" w:space="0" w:color="auto" w:frame="1"/>
        </w:rPr>
        <w:lastRenderedPageBreak/>
        <w:t>Home learning days will focus on:</w:t>
      </w:r>
    </w:p>
    <w:p>
      <w:pPr>
        <w:pStyle w:val="Default"/>
        <w:rPr>
          <w:bdr w:val="none" w:sz="0" w:space="0" w:color="auto" w:frame="1"/>
        </w:rPr>
      </w:pPr>
      <w:r>
        <w:rPr>
          <w:bdr w:val="none" w:sz="0" w:space="0" w:color="auto" w:frame="1"/>
        </w:rPr>
        <w:t xml:space="preserve">•Online learning continued –allocate tasks, check in with pupils and provide feedback. </w:t>
      </w:r>
    </w:p>
    <w:p>
      <w:pPr>
        <w:pStyle w:val="Default"/>
        <w:rPr>
          <w:bdr w:val="none" w:sz="0" w:space="0" w:color="auto" w:frame="1"/>
        </w:rPr>
      </w:pPr>
      <w:r>
        <w:rPr>
          <w:bdr w:val="none" w:sz="0" w:space="0" w:color="auto" w:frame="1"/>
        </w:rPr>
        <w:t xml:space="preserve">•Well-being of pupils and families. </w:t>
      </w:r>
    </w:p>
    <w:p>
      <w:pPr>
        <w:pStyle w:val="Default"/>
        <w:rPr>
          <w:b/>
          <w:bCs/>
          <w:color w:val="auto"/>
          <w:u w:val="single"/>
        </w:rPr>
      </w:pPr>
      <w:r>
        <w:rPr>
          <w:bdr w:val="none" w:sz="0" w:space="0" w:color="auto" w:frame="1"/>
        </w:rPr>
        <w:t>•Planning, curriculum, and preparation time for staff.</w:t>
      </w:r>
    </w:p>
    <w:p>
      <w:pPr>
        <w:pStyle w:val="Default"/>
        <w:rPr>
          <w:b/>
          <w:bCs/>
          <w:color w:val="auto"/>
          <w:u w:val="single"/>
        </w:rPr>
      </w:pPr>
      <w:r>
        <w:rPr>
          <w:b/>
          <w:bCs/>
          <w:color w:val="auto"/>
          <w:u w:val="single"/>
        </w:rPr>
        <w:t xml:space="preserve">Play time/lunch time Arrangements </w:t>
      </w:r>
    </w:p>
    <w:p>
      <w:pPr>
        <w:pStyle w:val="Default"/>
        <w:rPr>
          <w:b/>
          <w:bCs/>
          <w:color w:val="auto"/>
        </w:rPr>
      </w:pPr>
      <w:r>
        <w:rPr>
          <w:b/>
          <w:bCs/>
          <w:color w:val="auto"/>
        </w:rPr>
        <w:t>Please see CAD map in Appendix 4 noting the location of the different play areas on the yard</w:t>
      </w:r>
    </w:p>
    <w:p>
      <w:pPr>
        <w:pStyle w:val="Default"/>
        <w:rPr>
          <w:b/>
          <w:bCs/>
          <w:color w:val="auto"/>
        </w:rPr>
      </w:pPr>
    </w:p>
    <w:p>
      <w:pPr>
        <w:pStyle w:val="Default"/>
        <w:rPr>
          <w:b/>
          <w:bCs/>
          <w:color w:val="auto"/>
        </w:rPr>
      </w:pPr>
      <w:r>
        <w:rPr>
          <w:b/>
          <w:bCs/>
          <w:color w:val="auto"/>
        </w:rPr>
        <w:t>If it is wet play, children will remain within their bubble classrooms.</w:t>
      </w:r>
    </w:p>
    <w:p>
      <w:pPr>
        <w:pStyle w:val="Default"/>
        <w:rPr>
          <w:b/>
          <w:bCs/>
          <w:color w:val="auto"/>
        </w:rPr>
      </w:pPr>
    </w:p>
    <w:p>
      <w:pPr>
        <w:pStyle w:val="Default"/>
        <w:rPr>
          <w:rFonts w:asciiTheme="minorHAnsi" w:hAnsiTheme="minorHAnsi" w:cstheme="minorHAnsi"/>
          <w:b/>
          <w:bCs/>
          <w:color w:val="auto"/>
        </w:rPr>
      </w:pPr>
    </w:p>
    <w:tbl>
      <w:tblPr>
        <w:tblStyle w:val="TableGrid"/>
        <w:tblW w:w="0" w:type="auto"/>
        <w:tblInd w:w="720" w:type="dxa"/>
        <w:tblLook w:val="04A0" w:firstRow="1" w:lastRow="0" w:firstColumn="1" w:lastColumn="0" w:noHBand="0" w:noVBand="1"/>
      </w:tblPr>
      <w:tblGrid>
        <w:gridCol w:w="3867"/>
        <w:gridCol w:w="3630"/>
        <w:gridCol w:w="1559"/>
        <w:gridCol w:w="2126"/>
        <w:gridCol w:w="1985"/>
      </w:tblGrid>
      <w:tr>
        <w:tc>
          <w:tcPr>
            <w:tcW w:w="3867" w:type="dxa"/>
          </w:tcPr>
          <w:p>
            <w:pPr>
              <w:pStyle w:val="ListParagraph"/>
              <w:ind w:left="0"/>
              <w:rPr>
                <w:rFonts w:ascii="Tahoma" w:hAnsi="Tahoma" w:cs="Tahoma"/>
                <w:sz w:val="24"/>
                <w:szCs w:val="24"/>
                <w:highlight w:val="green"/>
              </w:rPr>
            </w:pPr>
            <w:r>
              <w:rPr>
                <w:rFonts w:ascii="Tahoma" w:hAnsi="Tahoma" w:cs="Tahoma"/>
                <w:sz w:val="24"/>
                <w:szCs w:val="24"/>
              </w:rPr>
              <w:t>Pod</w:t>
            </w:r>
          </w:p>
        </w:tc>
        <w:tc>
          <w:tcPr>
            <w:tcW w:w="3630" w:type="dxa"/>
          </w:tcPr>
          <w:p>
            <w:pPr>
              <w:pStyle w:val="ListParagraph"/>
              <w:ind w:left="0"/>
              <w:rPr>
                <w:rFonts w:ascii="Tahoma" w:hAnsi="Tahoma" w:cs="Tahoma"/>
                <w:sz w:val="24"/>
                <w:szCs w:val="24"/>
              </w:rPr>
            </w:pPr>
            <w:r>
              <w:rPr>
                <w:rFonts w:ascii="Tahoma" w:hAnsi="Tahoma" w:cs="Tahoma"/>
                <w:sz w:val="24"/>
                <w:szCs w:val="24"/>
              </w:rPr>
              <w:t>Location of yard</w:t>
            </w:r>
          </w:p>
        </w:tc>
        <w:tc>
          <w:tcPr>
            <w:tcW w:w="1559" w:type="dxa"/>
          </w:tcPr>
          <w:p>
            <w:pPr>
              <w:pStyle w:val="ListParagraph"/>
              <w:ind w:left="0"/>
              <w:jc w:val="center"/>
              <w:rPr>
                <w:rFonts w:ascii="Tahoma" w:hAnsi="Tahoma" w:cs="Tahoma"/>
                <w:sz w:val="24"/>
                <w:szCs w:val="24"/>
                <w:highlight w:val="green"/>
              </w:rPr>
            </w:pPr>
            <w:r>
              <w:rPr>
                <w:rFonts w:ascii="Tahoma" w:hAnsi="Tahoma" w:cs="Tahoma"/>
                <w:sz w:val="24"/>
                <w:szCs w:val="24"/>
              </w:rPr>
              <w:t>Morning Play</w:t>
            </w:r>
          </w:p>
        </w:tc>
        <w:tc>
          <w:tcPr>
            <w:tcW w:w="2126" w:type="dxa"/>
          </w:tcPr>
          <w:p>
            <w:pPr>
              <w:pStyle w:val="ListParagraph"/>
              <w:ind w:left="0"/>
              <w:jc w:val="center"/>
              <w:rPr>
                <w:rFonts w:ascii="Tahoma" w:hAnsi="Tahoma" w:cs="Tahoma"/>
                <w:sz w:val="24"/>
                <w:szCs w:val="24"/>
                <w:highlight w:val="green"/>
              </w:rPr>
            </w:pPr>
            <w:r>
              <w:rPr>
                <w:rFonts w:ascii="Tahoma" w:hAnsi="Tahoma" w:cs="Tahoma"/>
                <w:sz w:val="24"/>
                <w:szCs w:val="24"/>
              </w:rPr>
              <w:t>Lunch play</w:t>
            </w:r>
          </w:p>
        </w:tc>
        <w:tc>
          <w:tcPr>
            <w:tcW w:w="1985" w:type="dxa"/>
          </w:tcPr>
          <w:p>
            <w:pPr>
              <w:pStyle w:val="ListParagraph"/>
              <w:ind w:left="0"/>
              <w:rPr>
                <w:rFonts w:ascii="Tahoma" w:hAnsi="Tahoma" w:cs="Tahoma"/>
                <w:sz w:val="24"/>
                <w:szCs w:val="24"/>
                <w:highlight w:val="green"/>
              </w:rPr>
            </w:pPr>
            <w:r>
              <w:rPr>
                <w:rFonts w:ascii="Tahoma" w:hAnsi="Tahoma" w:cs="Tahoma"/>
                <w:sz w:val="24"/>
                <w:szCs w:val="24"/>
              </w:rPr>
              <w:t>Afternoon Play</w:t>
            </w:r>
          </w:p>
        </w:tc>
      </w:tr>
      <w:tr>
        <w:tc>
          <w:tcPr>
            <w:tcW w:w="3867" w:type="dxa"/>
          </w:tcPr>
          <w:p>
            <w:pPr>
              <w:pStyle w:val="Default"/>
              <w:rPr>
                <w:color w:val="auto"/>
              </w:rPr>
            </w:pPr>
            <w:r>
              <w:rPr>
                <w:color w:val="auto"/>
              </w:rPr>
              <w:t>LSC</w:t>
            </w:r>
          </w:p>
          <w:p>
            <w:pPr>
              <w:pStyle w:val="Default"/>
              <w:rPr>
                <w:color w:val="auto"/>
              </w:rPr>
            </w:pPr>
            <w:r>
              <w:rPr>
                <w:color w:val="auto"/>
              </w:rPr>
              <w:t>Class 1/Class 6 pod (in alternate days)</w:t>
            </w:r>
          </w:p>
        </w:tc>
        <w:tc>
          <w:tcPr>
            <w:tcW w:w="3630" w:type="dxa"/>
          </w:tcPr>
          <w:p>
            <w:pPr>
              <w:pStyle w:val="ListParagraph"/>
              <w:ind w:left="0"/>
              <w:rPr>
                <w:rFonts w:ascii="Tahoma" w:hAnsi="Tahoma" w:cs="Tahoma"/>
                <w:sz w:val="24"/>
                <w:szCs w:val="24"/>
              </w:rPr>
            </w:pPr>
            <w:r>
              <w:rPr>
                <w:rFonts w:ascii="Tahoma" w:hAnsi="Tahoma" w:cs="Tahoma"/>
                <w:sz w:val="24"/>
                <w:szCs w:val="24"/>
              </w:rPr>
              <w:t xml:space="preserve">‘Skinny yard’ and quiet area lower yard accessed via LSC entrance. </w:t>
            </w:r>
          </w:p>
        </w:tc>
        <w:tc>
          <w:tcPr>
            <w:tcW w:w="1559" w:type="dxa"/>
          </w:tcPr>
          <w:p>
            <w:pPr>
              <w:pStyle w:val="ListParagraph"/>
              <w:ind w:left="0"/>
              <w:rPr>
                <w:rFonts w:ascii="Tahoma" w:hAnsi="Tahoma" w:cs="Tahoma"/>
                <w:sz w:val="24"/>
                <w:szCs w:val="24"/>
                <w:highlight w:val="green"/>
              </w:rPr>
            </w:pPr>
            <w:r>
              <w:rPr>
                <w:rFonts w:ascii="Tahoma" w:hAnsi="Tahoma" w:cs="Tahoma"/>
                <w:sz w:val="24"/>
                <w:szCs w:val="24"/>
              </w:rPr>
              <w:t>10:30-10:45</w:t>
            </w:r>
          </w:p>
        </w:tc>
        <w:tc>
          <w:tcPr>
            <w:tcW w:w="2126" w:type="dxa"/>
          </w:tcPr>
          <w:p>
            <w:pPr>
              <w:pStyle w:val="ListParagraph"/>
              <w:ind w:left="0"/>
              <w:jc w:val="center"/>
              <w:rPr>
                <w:rFonts w:ascii="Tahoma" w:hAnsi="Tahoma" w:cs="Tahoma"/>
                <w:sz w:val="24"/>
                <w:szCs w:val="24"/>
              </w:rPr>
            </w:pPr>
            <w:r>
              <w:rPr>
                <w:rFonts w:ascii="Tahoma" w:hAnsi="Tahoma" w:cs="Tahoma"/>
                <w:sz w:val="24"/>
                <w:szCs w:val="24"/>
              </w:rPr>
              <w:t>11:45-12:45</w:t>
            </w:r>
          </w:p>
        </w:tc>
        <w:tc>
          <w:tcPr>
            <w:tcW w:w="1985" w:type="dxa"/>
          </w:tcPr>
          <w:p>
            <w:pPr>
              <w:pStyle w:val="ListParagraph"/>
              <w:ind w:left="0"/>
              <w:jc w:val="center"/>
              <w:rPr>
                <w:rFonts w:ascii="Tahoma" w:hAnsi="Tahoma" w:cs="Tahoma"/>
                <w:sz w:val="24"/>
                <w:szCs w:val="24"/>
              </w:rPr>
            </w:pPr>
            <w:r>
              <w:rPr>
                <w:rFonts w:ascii="Tahoma" w:hAnsi="Tahoma" w:cs="Tahoma"/>
                <w:sz w:val="24"/>
                <w:szCs w:val="24"/>
              </w:rPr>
              <w:t>2:00-2:10</w:t>
            </w:r>
          </w:p>
        </w:tc>
      </w:tr>
      <w:tr>
        <w:tc>
          <w:tcPr>
            <w:tcW w:w="3867" w:type="dxa"/>
          </w:tcPr>
          <w:p>
            <w:pPr>
              <w:pStyle w:val="Default"/>
              <w:rPr>
                <w:color w:val="auto"/>
              </w:rPr>
            </w:pPr>
            <w:r>
              <w:rPr>
                <w:color w:val="auto"/>
              </w:rPr>
              <w:t>Hub provision</w:t>
            </w:r>
          </w:p>
          <w:p>
            <w:pPr>
              <w:pStyle w:val="Default"/>
              <w:rPr>
                <w:color w:val="auto"/>
              </w:rPr>
            </w:pPr>
          </w:p>
          <w:p>
            <w:pPr>
              <w:pStyle w:val="Default"/>
              <w:rPr>
                <w:color w:val="auto"/>
              </w:rPr>
            </w:pPr>
          </w:p>
        </w:tc>
        <w:tc>
          <w:tcPr>
            <w:tcW w:w="3630" w:type="dxa"/>
          </w:tcPr>
          <w:p>
            <w:pPr>
              <w:pStyle w:val="ListParagraph"/>
              <w:ind w:left="0"/>
              <w:rPr>
                <w:rFonts w:ascii="Tahoma" w:hAnsi="Tahoma" w:cs="Tahoma"/>
                <w:sz w:val="24"/>
                <w:szCs w:val="24"/>
              </w:rPr>
            </w:pPr>
            <w:r>
              <w:rPr>
                <w:rFonts w:ascii="Tahoma" w:hAnsi="Tahoma" w:cs="Tahoma"/>
                <w:sz w:val="24"/>
                <w:szCs w:val="24"/>
              </w:rPr>
              <w:t>Nursery yard</w:t>
            </w:r>
          </w:p>
        </w:tc>
        <w:tc>
          <w:tcPr>
            <w:tcW w:w="1559" w:type="dxa"/>
          </w:tcPr>
          <w:p>
            <w:pPr>
              <w:pStyle w:val="ListParagraph"/>
              <w:ind w:left="0"/>
              <w:rPr>
                <w:rFonts w:ascii="Tahoma" w:hAnsi="Tahoma" w:cs="Tahoma"/>
                <w:sz w:val="24"/>
                <w:szCs w:val="24"/>
                <w:highlight w:val="green"/>
              </w:rPr>
            </w:pPr>
            <w:r>
              <w:rPr>
                <w:rFonts w:ascii="Tahoma" w:hAnsi="Tahoma" w:cs="Tahoma"/>
                <w:sz w:val="24"/>
                <w:szCs w:val="24"/>
              </w:rPr>
              <w:t>10:30-10:45</w:t>
            </w:r>
          </w:p>
        </w:tc>
        <w:tc>
          <w:tcPr>
            <w:tcW w:w="2126" w:type="dxa"/>
          </w:tcPr>
          <w:p>
            <w:pPr>
              <w:jc w:val="center"/>
              <w:rPr>
                <w:rFonts w:ascii="Tahoma" w:hAnsi="Tahoma" w:cs="Tahoma"/>
                <w:sz w:val="24"/>
                <w:szCs w:val="24"/>
              </w:rPr>
            </w:pPr>
            <w:r>
              <w:rPr>
                <w:rFonts w:ascii="Tahoma" w:hAnsi="Tahoma" w:cs="Tahoma"/>
                <w:sz w:val="24"/>
                <w:szCs w:val="24"/>
              </w:rPr>
              <w:t>11:45-12:45</w:t>
            </w:r>
          </w:p>
        </w:tc>
        <w:tc>
          <w:tcPr>
            <w:tcW w:w="1985" w:type="dxa"/>
          </w:tcPr>
          <w:p>
            <w:pPr>
              <w:jc w:val="center"/>
              <w:rPr>
                <w:rFonts w:ascii="Tahoma" w:hAnsi="Tahoma" w:cs="Tahoma"/>
                <w:sz w:val="24"/>
                <w:szCs w:val="24"/>
              </w:rPr>
            </w:pPr>
            <w:r>
              <w:rPr>
                <w:rFonts w:ascii="Tahoma" w:hAnsi="Tahoma" w:cs="Tahoma"/>
                <w:sz w:val="24"/>
                <w:szCs w:val="24"/>
              </w:rPr>
              <w:t>2:00-2:10</w:t>
            </w:r>
          </w:p>
        </w:tc>
      </w:tr>
      <w:tr>
        <w:tc>
          <w:tcPr>
            <w:tcW w:w="3867" w:type="dxa"/>
          </w:tcPr>
          <w:p>
            <w:pPr>
              <w:pStyle w:val="Default"/>
              <w:rPr>
                <w:color w:val="auto"/>
              </w:rPr>
            </w:pPr>
            <w:r>
              <w:rPr>
                <w:color w:val="auto"/>
              </w:rPr>
              <w:t>Class 3 pod 1 and 2 (in alternate days)</w:t>
            </w:r>
          </w:p>
        </w:tc>
        <w:tc>
          <w:tcPr>
            <w:tcW w:w="3630" w:type="dxa"/>
          </w:tcPr>
          <w:p>
            <w:pPr>
              <w:pStyle w:val="ListParagraph"/>
              <w:ind w:left="0"/>
              <w:rPr>
                <w:rFonts w:ascii="Tahoma" w:hAnsi="Tahoma" w:cs="Tahoma"/>
                <w:sz w:val="24"/>
                <w:szCs w:val="24"/>
              </w:rPr>
            </w:pPr>
            <w:r>
              <w:rPr>
                <w:rFonts w:ascii="Tahoma" w:hAnsi="Tahoma" w:cs="Tahoma"/>
                <w:sz w:val="24"/>
                <w:szCs w:val="24"/>
              </w:rPr>
              <w:t xml:space="preserve">Top yard </w:t>
            </w:r>
          </w:p>
          <w:p>
            <w:pPr>
              <w:pStyle w:val="ListParagraph"/>
              <w:ind w:left="0"/>
              <w:rPr>
                <w:rFonts w:ascii="Tahoma" w:hAnsi="Tahoma" w:cs="Tahoma"/>
                <w:sz w:val="24"/>
                <w:szCs w:val="24"/>
                <w:highlight w:val="green"/>
              </w:rPr>
            </w:pPr>
            <w:r>
              <w:rPr>
                <w:rFonts w:ascii="Tahoma" w:hAnsi="Tahoma" w:cs="Tahoma"/>
                <w:sz w:val="24"/>
                <w:szCs w:val="24"/>
              </w:rPr>
              <w:t>Yard to be accessed via entrance near dinner hall</w:t>
            </w:r>
          </w:p>
        </w:tc>
        <w:tc>
          <w:tcPr>
            <w:tcW w:w="1559" w:type="dxa"/>
          </w:tcPr>
          <w:p>
            <w:pPr>
              <w:pStyle w:val="ListParagraph"/>
              <w:ind w:left="0"/>
              <w:rPr>
                <w:rFonts w:ascii="Tahoma" w:hAnsi="Tahoma" w:cs="Tahoma"/>
                <w:sz w:val="24"/>
                <w:szCs w:val="24"/>
                <w:highlight w:val="green"/>
              </w:rPr>
            </w:pPr>
            <w:r>
              <w:rPr>
                <w:rFonts w:ascii="Tahoma" w:hAnsi="Tahoma" w:cs="Tahoma"/>
                <w:sz w:val="24"/>
                <w:szCs w:val="24"/>
              </w:rPr>
              <w:t>10:30-10:45</w:t>
            </w:r>
          </w:p>
        </w:tc>
        <w:tc>
          <w:tcPr>
            <w:tcW w:w="2126" w:type="dxa"/>
          </w:tcPr>
          <w:p>
            <w:pPr>
              <w:jc w:val="center"/>
              <w:rPr>
                <w:rFonts w:ascii="Tahoma" w:hAnsi="Tahoma" w:cs="Tahoma"/>
                <w:sz w:val="24"/>
                <w:szCs w:val="24"/>
              </w:rPr>
            </w:pPr>
            <w:r>
              <w:rPr>
                <w:rFonts w:ascii="Tahoma" w:hAnsi="Tahoma" w:cs="Tahoma"/>
                <w:sz w:val="24"/>
                <w:szCs w:val="24"/>
              </w:rPr>
              <w:t>11:45-12:45</w:t>
            </w:r>
          </w:p>
        </w:tc>
        <w:tc>
          <w:tcPr>
            <w:tcW w:w="1985" w:type="dxa"/>
          </w:tcPr>
          <w:p>
            <w:pPr>
              <w:jc w:val="center"/>
              <w:rPr>
                <w:rFonts w:ascii="Tahoma" w:hAnsi="Tahoma" w:cs="Tahoma"/>
                <w:sz w:val="24"/>
                <w:szCs w:val="24"/>
              </w:rPr>
            </w:pPr>
            <w:r>
              <w:rPr>
                <w:rFonts w:ascii="Tahoma" w:hAnsi="Tahoma" w:cs="Tahoma"/>
                <w:sz w:val="24"/>
                <w:szCs w:val="24"/>
              </w:rPr>
              <w:t>2:00-2:10</w:t>
            </w:r>
          </w:p>
        </w:tc>
      </w:tr>
      <w:tr>
        <w:tc>
          <w:tcPr>
            <w:tcW w:w="3867" w:type="dxa"/>
          </w:tcPr>
          <w:p>
            <w:pPr>
              <w:pStyle w:val="Default"/>
              <w:rPr>
                <w:color w:val="auto"/>
              </w:rPr>
            </w:pPr>
            <w:r>
              <w:rPr>
                <w:color w:val="auto"/>
              </w:rPr>
              <w:t xml:space="preserve">Class 4 pod 1 and 2 and 3 (in alternate days) </w:t>
            </w:r>
          </w:p>
        </w:tc>
        <w:tc>
          <w:tcPr>
            <w:tcW w:w="3630" w:type="dxa"/>
          </w:tcPr>
          <w:p>
            <w:pPr>
              <w:pStyle w:val="ListParagraph"/>
              <w:ind w:left="0"/>
              <w:rPr>
                <w:rFonts w:ascii="Tahoma" w:hAnsi="Tahoma" w:cs="Tahoma"/>
                <w:sz w:val="24"/>
                <w:szCs w:val="24"/>
              </w:rPr>
            </w:pPr>
            <w:r>
              <w:rPr>
                <w:rFonts w:ascii="Tahoma" w:hAnsi="Tahoma" w:cs="Tahoma"/>
                <w:sz w:val="24"/>
                <w:szCs w:val="24"/>
              </w:rPr>
              <w:t>Lower yard</w:t>
            </w:r>
          </w:p>
          <w:p>
            <w:pPr>
              <w:pStyle w:val="ListParagraph"/>
              <w:ind w:left="0"/>
              <w:rPr>
                <w:rFonts w:ascii="Tahoma" w:hAnsi="Tahoma" w:cs="Tahoma"/>
                <w:sz w:val="24"/>
                <w:szCs w:val="24"/>
                <w:highlight w:val="green"/>
              </w:rPr>
            </w:pPr>
            <w:r>
              <w:rPr>
                <w:rFonts w:ascii="Tahoma" w:hAnsi="Tahoma" w:cs="Tahoma"/>
                <w:sz w:val="24"/>
                <w:szCs w:val="24"/>
              </w:rPr>
              <w:t>Yard to be accessed via entrance opposite staff room</w:t>
            </w:r>
          </w:p>
        </w:tc>
        <w:tc>
          <w:tcPr>
            <w:tcW w:w="1559" w:type="dxa"/>
          </w:tcPr>
          <w:p>
            <w:pPr>
              <w:pStyle w:val="ListParagraph"/>
              <w:ind w:left="0"/>
              <w:rPr>
                <w:rFonts w:ascii="Tahoma" w:hAnsi="Tahoma" w:cs="Tahoma"/>
                <w:sz w:val="24"/>
                <w:szCs w:val="24"/>
                <w:highlight w:val="green"/>
              </w:rPr>
            </w:pPr>
            <w:r>
              <w:rPr>
                <w:rFonts w:ascii="Tahoma" w:hAnsi="Tahoma" w:cs="Tahoma"/>
                <w:sz w:val="24"/>
                <w:szCs w:val="24"/>
              </w:rPr>
              <w:t>10:30-10:45</w:t>
            </w:r>
          </w:p>
        </w:tc>
        <w:tc>
          <w:tcPr>
            <w:tcW w:w="2126" w:type="dxa"/>
          </w:tcPr>
          <w:p>
            <w:pPr>
              <w:jc w:val="center"/>
              <w:rPr>
                <w:rFonts w:ascii="Tahoma" w:hAnsi="Tahoma" w:cs="Tahoma"/>
                <w:sz w:val="24"/>
                <w:szCs w:val="24"/>
              </w:rPr>
            </w:pPr>
            <w:r>
              <w:rPr>
                <w:rFonts w:ascii="Tahoma" w:hAnsi="Tahoma" w:cs="Tahoma"/>
                <w:sz w:val="24"/>
                <w:szCs w:val="24"/>
              </w:rPr>
              <w:t>11:45-12:45</w:t>
            </w:r>
          </w:p>
        </w:tc>
        <w:tc>
          <w:tcPr>
            <w:tcW w:w="1985" w:type="dxa"/>
          </w:tcPr>
          <w:p>
            <w:pPr>
              <w:jc w:val="center"/>
              <w:rPr>
                <w:rFonts w:ascii="Tahoma" w:hAnsi="Tahoma" w:cs="Tahoma"/>
                <w:sz w:val="24"/>
                <w:szCs w:val="24"/>
              </w:rPr>
            </w:pPr>
            <w:r>
              <w:rPr>
                <w:rFonts w:ascii="Tahoma" w:hAnsi="Tahoma" w:cs="Tahoma"/>
                <w:sz w:val="24"/>
                <w:szCs w:val="24"/>
              </w:rPr>
              <w:t>2:00-2:10</w:t>
            </w:r>
          </w:p>
        </w:tc>
      </w:tr>
      <w:tr>
        <w:tc>
          <w:tcPr>
            <w:tcW w:w="3867" w:type="dxa"/>
          </w:tcPr>
          <w:p>
            <w:pPr>
              <w:pStyle w:val="Default"/>
              <w:rPr>
                <w:color w:val="auto"/>
              </w:rPr>
            </w:pPr>
            <w:r>
              <w:rPr>
                <w:color w:val="auto"/>
              </w:rPr>
              <w:t>Class 5 pod 1 and 2 (in alternate days)</w:t>
            </w:r>
          </w:p>
        </w:tc>
        <w:tc>
          <w:tcPr>
            <w:tcW w:w="3630" w:type="dxa"/>
          </w:tcPr>
          <w:p>
            <w:pPr>
              <w:pStyle w:val="ListParagraph"/>
              <w:ind w:left="0"/>
              <w:rPr>
                <w:rFonts w:ascii="Tahoma" w:hAnsi="Tahoma" w:cs="Tahoma"/>
                <w:sz w:val="24"/>
                <w:szCs w:val="24"/>
              </w:rPr>
            </w:pPr>
            <w:r>
              <w:rPr>
                <w:rFonts w:ascii="Tahoma" w:hAnsi="Tahoma" w:cs="Tahoma"/>
                <w:sz w:val="24"/>
                <w:szCs w:val="24"/>
              </w:rPr>
              <w:t>Lower yard</w:t>
            </w:r>
          </w:p>
          <w:p>
            <w:pPr>
              <w:pStyle w:val="ListParagraph"/>
              <w:ind w:left="0"/>
              <w:rPr>
                <w:rFonts w:ascii="Tahoma" w:hAnsi="Tahoma" w:cs="Tahoma"/>
                <w:sz w:val="24"/>
                <w:szCs w:val="24"/>
                <w:highlight w:val="green"/>
              </w:rPr>
            </w:pPr>
            <w:r>
              <w:rPr>
                <w:rFonts w:ascii="Tahoma" w:hAnsi="Tahoma" w:cs="Tahoma"/>
                <w:sz w:val="24"/>
                <w:szCs w:val="24"/>
              </w:rPr>
              <w:t>Yard to be accessed via entrance near Class 2 (basement)</w:t>
            </w:r>
          </w:p>
        </w:tc>
        <w:tc>
          <w:tcPr>
            <w:tcW w:w="1559" w:type="dxa"/>
          </w:tcPr>
          <w:p>
            <w:pPr>
              <w:pStyle w:val="ListParagraph"/>
              <w:ind w:left="0"/>
              <w:rPr>
                <w:rFonts w:ascii="Tahoma" w:hAnsi="Tahoma" w:cs="Tahoma"/>
                <w:sz w:val="24"/>
                <w:szCs w:val="24"/>
                <w:highlight w:val="green"/>
              </w:rPr>
            </w:pPr>
            <w:r>
              <w:rPr>
                <w:rFonts w:ascii="Tahoma" w:hAnsi="Tahoma" w:cs="Tahoma"/>
                <w:sz w:val="24"/>
                <w:szCs w:val="24"/>
              </w:rPr>
              <w:t>10:50-11:05</w:t>
            </w:r>
          </w:p>
        </w:tc>
        <w:tc>
          <w:tcPr>
            <w:tcW w:w="2126" w:type="dxa"/>
          </w:tcPr>
          <w:p>
            <w:pPr>
              <w:pStyle w:val="ListParagraph"/>
              <w:ind w:left="0"/>
              <w:jc w:val="center"/>
              <w:rPr>
                <w:rFonts w:ascii="Tahoma" w:hAnsi="Tahoma" w:cs="Tahoma"/>
                <w:sz w:val="24"/>
                <w:szCs w:val="24"/>
              </w:rPr>
            </w:pPr>
            <w:r>
              <w:rPr>
                <w:rFonts w:ascii="Tahoma" w:hAnsi="Tahoma" w:cs="Tahoma"/>
                <w:sz w:val="24"/>
                <w:szCs w:val="24"/>
              </w:rPr>
              <w:t>12:15-1:15</w:t>
            </w:r>
          </w:p>
        </w:tc>
        <w:tc>
          <w:tcPr>
            <w:tcW w:w="1985" w:type="dxa"/>
          </w:tcPr>
          <w:p>
            <w:pPr>
              <w:pStyle w:val="ListParagraph"/>
              <w:ind w:left="0"/>
              <w:jc w:val="center"/>
              <w:rPr>
                <w:rFonts w:ascii="Tahoma" w:hAnsi="Tahoma" w:cs="Tahoma"/>
                <w:sz w:val="24"/>
                <w:szCs w:val="24"/>
              </w:rPr>
            </w:pPr>
            <w:r>
              <w:rPr>
                <w:rFonts w:ascii="Tahoma" w:hAnsi="Tahoma" w:cs="Tahoma"/>
                <w:sz w:val="24"/>
                <w:szCs w:val="24"/>
              </w:rPr>
              <w:t>2:15-2:25</w:t>
            </w:r>
          </w:p>
        </w:tc>
      </w:tr>
    </w:tbl>
    <w:p>
      <w:pPr>
        <w:pStyle w:val="ListParagraph"/>
        <w:rPr>
          <w:rFonts w:cstheme="minorHAnsi"/>
          <w:highlight w:val="green"/>
        </w:rPr>
      </w:pPr>
    </w:p>
    <w:p>
      <w:pPr>
        <w:pStyle w:val="Default"/>
        <w:ind w:left="720"/>
        <w:rPr>
          <w:rFonts w:asciiTheme="minorHAnsi" w:hAnsiTheme="minorHAnsi" w:cstheme="minorHAnsi"/>
          <w:highlight w:val="green"/>
        </w:rPr>
      </w:pPr>
    </w:p>
    <w:p>
      <w:pPr>
        <w:pStyle w:val="Default"/>
        <w:ind w:left="720"/>
        <w:rPr>
          <w:rFonts w:asciiTheme="minorHAnsi" w:hAnsiTheme="minorHAnsi" w:cstheme="minorHAnsi"/>
          <w:highlight w:val="green"/>
        </w:rPr>
      </w:pPr>
    </w:p>
    <w:p>
      <w:pPr>
        <w:pStyle w:val="Default"/>
        <w:ind w:left="720"/>
        <w:rPr>
          <w:rFonts w:asciiTheme="minorHAnsi" w:hAnsiTheme="minorHAnsi" w:cstheme="minorHAnsi"/>
          <w:highlight w:val="green"/>
        </w:rPr>
      </w:pPr>
    </w:p>
    <w:p>
      <w:pPr>
        <w:pStyle w:val="Default"/>
        <w:ind w:left="720"/>
        <w:rPr>
          <w:rFonts w:asciiTheme="minorHAnsi" w:hAnsiTheme="minorHAnsi" w:cstheme="minorHAnsi"/>
          <w:highlight w:val="green"/>
        </w:rPr>
      </w:pPr>
    </w:p>
    <w:p>
      <w:pPr>
        <w:pStyle w:val="Default"/>
        <w:ind w:left="720"/>
        <w:rPr>
          <w:rFonts w:asciiTheme="minorHAnsi" w:hAnsiTheme="minorHAnsi" w:cstheme="minorHAnsi"/>
          <w:highlight w:val="green"/>
        </w:rPr>
      </w:pPr>
    </w:p>
    <w:p>
      <w:pPr>
        <w:pStyle w:val="Default"/>
        <w:ind w:left="720"/>
        <w:rPr>
          <w:rFonts w:asciiTheme="minorHAnsi" w:hAnsiTheme="minorHAnsi" w:cstheme="minorHAnsi"/>
          <w:highlight w:val="green"/>
        </w:rPr>
      </w:pPr>
    </w:p>
    <w:p>
      <w:pPr>
        <w:pStyle w:val="Default"/>
        <w:ind w:left="720"/>
        <w:rPr>
          <w:rFonts w:asciiTheme="minorHAnsi" w:hAnsiTheme="minorHAnsi" w:cstheme="minorHAnsi"/>
          <w:highlight w:val="green"/>
        </w:rPr>
      </w:pPr>
    </w:p>
    <w:p>
      <w:pPr>
        <w:pStyle w:val="Default"/>
        <w:ind w:left="720"/>
        <w:rPr>
          <w:rFonts w:asciiTheme="minorHAnsi" w:hAnsiTheme="minorHAnsi" w:cstheme="minorHAnsi"/>
          <w:highlight w:val="green"/>
        </w:rPr>
      </w:pPr>
    </w:p>
    <w:p>
      <w:pPr>
        <w:pStyle w:val="Default"/>
        <w:ind w:left="720"/>
        <w:rPr>
          <w:rFonts w:asciiTheme="minorHAnsi" w:hAnsiTheme="minorHAnsi" w:cstheme="minorHAnsi"/>
          <w:highlight w:val="green"/>
        </w:rPr>
      </w:pPr>
    </w:p>
    <w:p>
      <w:pPr>
        <w:pStyle w:val="Default"/>
        <w:ind w:left="720"/>
        <w:rPr>
          <w:rFonts w:asciiTheme="minorHAnsi" w:hAnsiTheme="minorHAnsi" w:cstheme="minorHAnsi"/>
          <w:highlight w:val="green"/>
        </w:rPr>
      </w:pPr>
    </w:p>
    <w:p>
      <w:pPr>
        <w:pStyle w:val="Default"/>
        <w:ind w:left="720"/>
        <w:rPr>
          <w:rFonts w:asciiTheme="minorHAnsi" w:hAnsiTheme="minorHAnsi" w:cstheme="minorHAnsi"/>
          <w:highlight w:val="green"/>
        </w:rPr>
      </w:pPr>
    </w:p>
    <w:p>
      <w:pPr>
        <w:pStyle w:val="Default"/>
        <w:ind w:left="720"/>
        <w:rPr>
          <w:rFonts w:asciiTheme="minorHAnsi" w:hAnsiTheme="minorHAnsi" w:cstheme="minorHAnsi"/>
          <w:highlight w:val="green"/>
        </w:rPr>
      </w:pPr>
    </w:p>
    <w:p>
      <w:pPr>
        <w:pStyle w:val="Default"/>
        <w:ind w:left="720"/>
        <w:rPr>
          <w:rFonts w:asciiTheme="minorHAnsi" w:hAnsiTheme="minorHAnsi" w:cstheme="minorHAnsi"/>
          <w:highlight w:val="green"/>
        </w:rPr>
      </w:pPr>
    </w:p>
    <w:p>
      <w:pPr>
        <w:pStyle w:val="Default"/>
        <w:ind w:left="720"/>
        <w:rPr>
          <w:rFonts w:asciiTheme="minorHAnsi" w:hAnsiTheme="minorHAnsi" w:cstheme="minorHAnsi"/>
          <w:highlight w:val="green"/>
        </w:rPr>
      </w:pPr>
    </w:p>
    <w:p>
      <w:pPr>
        <w:pStyle w:val="Default"/>
        <w:ind w:left="720"/>
        <w:rPr>
          <w:rFonts w:asciiTheme="minorHAnsi" w:hAnsiTheme="minorHAnsi" w:cstheme="minorHAnsi"/>
          <w:highlight w:val="green"/>
        </w:rPr>
      </w:pPr>
    </w:p>
    <w:p>
      <w:pPr>
        <w:pStyle w:val="Default"/>
        <w:ind w:left="720"/>
        <w:rPr>
          <w:rFonts w:asciiTheme="minorHAnsi" w:hAnsiTheme="minorHAnsi" w:cstheme="minorHAnsi"/>
          <w:highlight w:val="green"/>
        </w:rPr>
      </w:pPr>
    </w:p>
    <w:p>
      <w:pPr>
        <w:pStyle w:val="Default"/>
        <w:ind w:left="720"/>
        <w:rPr>
          <w:rFonts w:asciiTheme="minorHAnsi" w:hAnsiTheme="minorHAnsi" w:cstheme="minorHAnsi"/>
          <w:highlight w:val="green"/>
        </w:rPr>
      </w:pPr>
    </w:p>
    <w:p>
      <w:pPr>
        <w:pStyle w:val="Default"/>
        <w:ind w:left="720"/>
        <w:rPr>
          <w:rFonts w:asciiTheme="minorHAnsi" w:hAnsiTheme="minorHAnsi" w:cstheme="minorHAnsi"/>
          <w:highlight w:val="green"/>
        </w:rPr>
      </w:pPr>
    </w:p>
    <w:p>
      <w:pPr>
        <w:pStyle w:val="Default"/>
        <w:ind w:left="720"/>
        <w:rPr>
          <w:rFonts w:asciiTheme="minorHAnsi" w:hAnsiTheme="minorHAnsi" w:cstheme="minorHAnsi"/>
          <w:highlight w:val="green"/>
        </w:rPr>
      </w:pPr>
    </w:p>
    <w:p>
      <w:pPr>
        <w:pStyle w:val="Default"/>
        <w:ind w:left="720"/>
        <w:rPr>
          <w:rFonts w:asciiTheme="minorHAnsi" w:hAnsiTheme="minorHAnsi" w:cstheme="minorHAnsi"/>
          <w:highlight w:val="green"/>
        </w:rPr>
      </w:pPr>
    </w:p>
    <w:tbl>
      <w:tblPr>
        <w:tblStyle w:val="TableGrid"/>
        <w:tblpPr w:leftFromText="180" w:rightFromText="180" w:vertAnchor="page" w:horzAnchor="margin" w:tblpY="1471"/>
        <w:tblW w:w="0" w:type="auto"/>
        <w:tblLook w:val="04A0" w:firstRow="1" w:lastRow="0" w:firstColumn="1" w:lastColumn="0" w:noHBand="0" w:noVBand="1"/>
      </w:tblPr>
      <w:tblGrid>
        <w:gridCol w:w="2564"/>
        <w:gridCol w:w="2564"/>
        <w:gridCol w:w="2565"/>
        <w:gridCol w:w="2565"/>
        <w:gridCol w:w="2565"/>
        <w:gridCol w:w="2565"/>
      </w:tblGrid>
      <w:tr>
        <w:tc>
          <w:tcPr>
            <w:tcW w:w="2564" w:type="dxa"/>
          </w:tcPr>
          <w:p>
            <w:pPr>
              <w:rPr>
                <w:rFonts w:ascii="Tahoma" w:hAnsi="Tahoma" w:cs="Tahoma"/>
                <w:b/>
                <w:bCs/>
                <w:sz w:val="24"/>
                <w:szCs w:val="24"/>
              </w:rPr>
            </w:pPr>
            <w:r>
              <w:rPr>
                <w:rFonts w:ascii="Tahoma" w:hAnsi="Tahoma" w:cs="Tahoma"/>
                <w:b/>
                <w:bCs/>
                <w:sz w:val="24"/>
                <w:szCs w:val="24"/>
              </w:rPr>
              <w:t>Week 1</w:t>
            </w:r>
          </w:p>
        </w:tc>
        <w:tc>
          <w:tcPr>
            <w:tcW w:w="2564" w:type="dxa"/>
          </w:tcPr>
          <w:p>
            <w:pPr>
              <w:jc w:val="center"/>
              <w:rPr>
                <w:rFonts w:ascii="Tahoma" w:hAnsi="Tahoma" w:cs="Tahoma"/>
                <w:sz w:val="24"/>
                <w:szCs w:val="24"/>
              </w:rPr>
            </w:pPr>
            <w:r>
              <w:rPr>
                <w:rFonts w:ascii="Tahoma" w:hAnsi="Tahoma" w:cs="Tahoma"/>
                <w:sz w:val="24"/>
                <w:szCs w:val="24"/>
              </w:rPr>
              <w:t>Monday</w:t>
            </w:r>
          </w:p>
          <w:p>
            <w:pPr>
              <w:jc w:val="center"/>
              <w:rPr>
                <w:rFonts w:ascii="Tahoma" w:hAnsi="Tahoma" w:cs="Tahoma"/>
                <w:sz w:val="24"/>
                <w:szCs w:val="24"/>
              </w:rPr>
            </w:pPr>
            <w:r>
              <w:rPr>
                <w:rFonts w:ascii="Tahoma" w:hAnsi="Tahoma" w:cs="Tahoma"/>
                <w:sz w:val="24"/>
                <w:szCs w:val="24"/>
              </w:rPr>
              <w:t>29</w:t>
            </w:r>
            <w:r>
              <w:rPr>
                <w:rFonts w:ascii="Tahoma" w:hAnsi="Tahoma" w:cs="Tahoma"/>
                <w:sz w:val="24"/>
                <w:szCs w:val="24"/>
                <w:vertAlign w:val="superscript"/>
              </w:rPr>
              <w:t>th</w:t>
            </w:r>
            <w:r>
              <w:rPr>
                <w:rFonts w:ascii="Tahoma" w:hAnsi="Tahoma" w:cs="Tahoma"/>
                <w:sz w:val="24"/>
                <w:szCs w:val="24"/>
              </w:rPr>
              <w:t xml:space="preserve"> June</w:t>
            </w:r>
          </w:p>
        </w:tc>
        <w:tc>
          <w:tcPr>
            <w:tcW w:w="2565" w:type="dxa"/>
          </w:tcPr>
          <w:p>
            <w:pPr>
              <w:jc w:val="center"/>
              <w:rPr>
                <w:rFonts w:ascii="Tahoma" w:hAnsi="Tahoma" w:cs="Tahoma"/>
                <w:sz w:val="24"/>
                <w:szCs w:val="24"/>
              </w:rPr>
            </w:pPr>
            <w:r>
              <w:rPr>
                <w:rFonts w:ascii="Tahoma" w:hAnsi="Tahoma" w:cs="Tahoma"/>
                <w:sz w:val="24"/>
                <w:szCs w:val="24"/>
              </w:rPr>
              <w:t>Tuesday</w:t>
            </w:r>
          </w:p>
          <w:p>
            <w:pPr>
              <w:jc w:val="center"/>
              <w:rPr>
                <w:rFonts w:ascii="Tahoma" w:hAnsi="Tahoma" w:cs="Tahoma"/>
                <w:sz w:val="24"/>
                <w:szCs w:val="24"/>
              </w:rPr>
            </w:pPr>
            <w:r>
              <w:rPr>
                <w:rFonts w:ascii="Tahoma" w:hAnsi="Tahoma" w:cs="Tahoma"/>
                <w:sz w:val="24"/>
                <w:szCs w:val="24"/>
              </w:rPr>
              <w:t>30</w:t>
            </w:r>
            <w:r>
              <w:rPr>
                <w:rFonts w:ascii="Tahoma" w:hAnsi="Tahoma" w:cs="Tahoma"/>
                <w:sz w:val="24"/>
                <w:szCs w:val="24"/>
                <w:vertAlign w:val="superscript"/>
              </w:rPr>
              <w:t>th</w:t>
            </w:r>
            <w:r>
              <w:rPr>
                <w:rFonts w:ascii="Tahoma" w:hAnsi="Tahoma" w:cs="Tahoma"/>
                <w:sz w:val="24"/>
                <w:szCs w:val="24"/>
              </w:rPr>
              <w:t xml:space="preserve"> June</w:t>
            </w:r>
          </w:p>
        </w:tc>
        <w:tc>
          <w:tcPr>
            <w:tcW w:w="2565" w:type="dxa"/>
          </w:tcPr>
          <w:p>
            <w:pPr>
              <w:jc w:val="center"/>
              <w:rPr>
                <w:rFonts w:ascii="Tahoma" w:hAnsi="Tahoma" w:cs="Tahoma"/>
                <w:sz w:val="24"/>
                <w:szCs w:val="24"/>
              </w:rPr>
            </w:pPr>
            <w:r>
              <w:rPr>
                <w:rFonts w:ascii="Tahoma" w:hAnsi="Tahoma" w:cs="Tahoma"/>
                <w:sz w:val="24"/>
                <w:szCs w:val="24"/>
              </w:rPr>
              <w:t>Wednesday</w:t>
            </w:r>
          </w:p>
          <w:p>
            <w:pPr>
              <w:jc w:val="center"/>
              <w:rPr>
                <w:rFonts w:ascii="Tahoma" w:hAnsi="Tahoma" w:cs="Tahoma"/>
                <w:sz w:val="24"/>
                <w:szCs w:val="24"/>
              </w:rPr>
            </w:pPr>
            <w:r>
              <w:rPr>
                <w:rFonts w:ascii="Tahoma" w:hAnsi="Tahoma" w:cs="Tahoma"/>
                <w:sz w:val="24"/>
                <w:szCs w:val="24"/>
              </w:rPr>
              <w:t>1</w:t>
            </w:r>
            <w:r>
              <w:rPr>
                <w:rFonts w:ascii="Tahoma" w:hAnsi="Tahoma" w:cs="Tahoma"/>
                <w:sz w:val="24"/>
                <w:szCs w:val="24"/>
                <w:vertAlign w:val="superscript"/>
              </w:rPr>
              <w:t>st</w:t>
            </w:r>
            <w:r>
              <w:rPr>
                <w:rFonts w:ascii="Tahoma" w:hAnsi="Tahoma" w:cs="Tahoma"/>
                <w:sz w:val="24"/>
                <w:szCs w:val="24"/>
              </w:rPr>
              <w:t xml:space="preserve"> July</w:t>
            </w:r>
          </w:p>
        </w:tc>
        <w:tc>
          <w:tcPr>
            <w:tcW w:w="2565" w:type="dxa"/>
          </w:tcPr>
          <w:p>
            <w:pPr>
              <w:jc w:val="center"/>
              <w:rPr>
                <w:rFonts w:ascii="Tahoma" w:hAnsi="Tahoma" w:cs="Tahoma"/>
                <w:sz w:val="24"/>
                <w:szCs w:val="24"/>
              </w:rPr>
            </w:pPr>
            <w:r>
              <w:rPr>
                <w:rFonts w:ascii="Tahoma" w:hAnsi="Tahoma" w:cs="Tahoma"/>
                <w:sz w:val="24"/>
                <w:szCs w:val="24"/>
              </w:rPr>
              <w:t>Thursday</w:t>
            </w:r>
          </w:p>
          <w:p>
            <w:pPr>
              <w:jc w:val="center"/>
              <w:rPr>
                <w:rFonts w:ascii="Tahoma" w:hAnsi="Tahoma" w:cs="Tahoma"/>
                <w:sz w:val="24"/>
                <w:szCs w:val="24"/>
              </w:rPr>
            </w:pPr>
            <w:r>
              <w:rPr>
                <w:rFonts w:ascii="Tahoma" w:hAnsi="Tahoma" w:cs="Tahoma"/>
                <w:sz w:val="24"/>
                <w:szCs w:val="24"/>
              </w:rPr>
              <w:t>2</w:t>
            </w:r>
            <w:r>
              <w:rPr>
                <w:rFonts w:ascii="Tahoma" w:hAnsi="Tahoma" w:cs="Tahoma"/>
                <w:sz w:val="24"/>
                <w:szCs w:val="24"/>
                <w:vertAlign w:val="superscript"/>
              </w:rPr>
              <w:t>nd</w:t>
            </w:r>
            <w:r>
              <w:rPr>
                <w:rFonts w:ascii="Tahoma" w:hAnsi="Tahoma" w:cs="Tahoma"/>
                <w:sz w:val="24"/>
                <w:szCs w:val="24"/>
              </w:rPr>
              <w:t xml:space="preserve"> July</w:t>
            </w:r>
          </w:p>
        </w:tc>
        <w:tc>
          <w:tcPr>
            <w:tcW w:w="2565" w:type="dxa"/>
          </w:tcPr>
          <w:p>
            <w:pPr>
              <w:jc w:val="center"/>
              <w:rPr>
                <w:rFonts w:ascii="Tahoma" w:hAnsi="Tahoma" w:cs="Tahoma"/>
                <w:sz w:val="24"/>
                <w:szCs w:val="24"/>
              </w:rPr>
            </w:pPr>
            <w:r>
              <w:rPr>
                <w:rFonts w:ascii="Tahoma" w:hAnsi="Tahoma" w:cs="Tahoma"/>
                <w:sz w:val="24"/>
                <w:szCs w:val="24"/>
              </w:rPr>
              <w:t xml:space="preserve">Friday </w:t>
            </w:r>
          </w:p>
          <w:p>
            <w:pPr>
              <w:jc w:val="center"/>
              <w:rPr>
                <w:rFonts w:ascii="Tahoma" w:hAnsi="Tahoma" w:cs="Tahoma"/>
                <w:sz w:val="24"/>
                <w:szCs w:val="24"/>
              </w:rPr>
            </w:pPr>
            <w:r>
              <w:rPr>
                <w:rFonts w:ascii="Tahoma" w:hAnsi="Tahoma" w:cs="Tahoma"/>
                <w:sz w:val="24"/>
                <w:szCs w:val="24"/>
              </w:rPr>
              <w:t>3</w:t>
            </w:r>
            <w:r>
              <w:rPr>
                <w:rFonts w:ascii="Tahoma" w:hAnsi="Tahoma" w:cs="Tahoma"/>
                <w:sz w:val="24"/>
                <w:szCs w:val="24"/>
                <w:vertAlign w:val="superscript"/>
              </w:rPr>
              <w:t>rd</w:t>
            </w:r>
            <w:r>
              <w:rPr>
                <w:rFonts w:ascii="Tahoma" w:hAnsi="Tahoma" w:cs="Tahoma"/>
                <w:sz w:val="24"/>
                <w:szCs w:val="24"/>
              </w:rPr>
              <w:t xml:space="preserve"> July</w:t>
            </w:r>
          </w:p>
        </w:tc>
      </w:tr>
      <w:tr>
        <w:tc>
          <w:tcPr>
            <w:tcW w:w="2564" w:type="dxa"/>
          </w:tcPr>
          <w:p>
            <w:pPr>
              <w:rPr>
                <w:rFonts w:ascii="Tahoma" w:hAnsi="Tahoma" w:cs="Tahoma"/>
                <w:sz w:val="24"/>
                <w:szCs w:val="24"/>
              </w:rPr>
            </w:pPr>
            <w:r>
              <w:rPr>
                <w:rFonts w:ascii="Tahoma" w:hAnsi="Tahoma" w:cs="Tahoma"/>
                <w:sz w:val="24"/>
                <w:szCs w:val="24"/>
              </w:rPr>
              <w:t>LSC</w:t>
            </w:r>
          </w:p>
          <w:p>
            <w:pPr>
              <w:rPr>
                <w:rFonts w:ascii="Tahoma" w:hAnsi="Tahoma" w:cs="Tahoma"/>
                <w:sz w:val="24"/>
                <w:szCs w:val="24"/>
              </w:rPr>
            </w:pPr>
            <w:r>
              <w:rPr>
                <w:rFonts w:ascii="Tahoma" w:hAnsi="Tahoma" w:cs="Tahoma"/>
                <w:sz w:val="24"/>
                <w:szCs w:val="24"/>
              </w:rPr>
              <w:t>Pod</w:t>
            </w:r>
          </w:p>
        </w:tc>
        <w:tc>
          <w:tcPr>
            <w:tcW w:w="2564" w:type="dxa"/>
          </w:tcPr>
          <w:p>
            <w:pPr>
              <w:jc w:val="center"/>
              <w:rPr>
                <w:rFonts w:ascii="Tahoma" w:hAnsi="Tahoma" w:cs="Tahoma"/>
                <w:sz w:val="24"/>
                <w:szCs w:val="24"/>
              </w:rPr>
            </w:pPr>
            <w:r>
              <w:rPr>
                <w:rFonts w:ascii="Tahoma" w:hAnsi="Tahoma" w:cs="Tahoma"/>
                <w:sz w:val="24"/>
                <w:szCs w:val="24"/>
              </w:rPr>
              <w:t>Class 6</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Class 6</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Class 6</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Class 1</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Class 1</w:t>
            </w:r>
          </w:p>
          <w:p>
            <w:pPr>
              <w:jc w:val="center"/>
              <w:rPr>
                <w:rFonts w:ascii="Tahoma" w:hAnsi="Tahoma" w:cs="Tahoma"/>
                <w:sz w:val="24"/>
                <w:szCs w:val="24"/>
              </w:rPr>
            </w:pPr>
          </w:p>
        </w:tc>
      </w:tr>
      <w:tr>
        <w:tc>
          <w:tcPr>
            <w:tcW w:w="2564" w:type="dxa"/>
          </w:tcPr>
          <w:p>
            <w:pPr>
              <w:rPr>
                <w:rFonts w:ascii="Tahoma" w:hAnsi="Tahoma" w:cs="Tahoma"/>
                <w:sz w:val="24"/>
                <w:szCs w:val="24"/>
              </w:rPr>
            </w:pPr>
            <w:r>
              <w:rPr>
                <w:rFonts w:ascii="Tahoma" w:hAnsi="Tahoma" w:cs="Tahoma"/>
                <w:sz w:val="24"/>
                <w:szCs w:val="24"/>
              </w:rPr>
              <w:t>Class 3</w:t>
            </w:r>
          </w:p>
        </w:tc>
        <w:tc>
          <w:tcPr>
            <w:tcW w:w="2564" w:type="dxa"/>
          </w:tcPr>
          <w:p>
            <w:pPr>
              <w:jc w:val="center"/>
              <w:rPr>
                <w:rFonts w:ascii="Tahoma" w:hAnsi="Tahoma" w:cs="Tahoma"/>
                <w:sz w:val="24"/>
                <w:szCs w:val="24"/>
              </w:rPr>
            </w:pPr>
            <w:r>
              <w:rPr>
                <w:rFonts w:ascii="Tahoma" w:hAnsi="Tahoma" w:cs="Tahoma"/>
                <w:sz w:val="24"/>
                <w:szCs w:val="24"/>
              </w:rPr>
              <w:t>Distance learning</w:t>
            </w:r>
          </w:p>
          <w:p>
            <w:pPr>
              <w:jc w:val="center"/>
              <w:rPr>
                <w:rFonts w:ascii="Tahoma" w:hAnsi="Tahoma" w:cs="Tahoma"/>
                <w:sz w:val="24"/>
                <w:szCs w:val="24"/>
              </w:rPr>
            </w:pPr>
            <w:r>
              <w:rPr>
                <w:rFonts w:ascii="Tahoma" w:hAnsi="Tahoma" w:cs="Tahoma"/>
                <w:sz w:val="24"/>
                <w:szCs w:val="24"/>
              </w:rPr>
              <w:t>preparation</w:t>
            </w:r>
          </w:p>
        </w:tc>
        <w:tc>
          <w:tcPr>
            <w:tcW w:w="2565" w:type="dxa"/>
          </w:tcPr>
          <w:p>
            <w:pPr>
              <w:jc w:val="center"/>
              <w:rPr>
                <w:rFonts w:ascii="Tahoma" w:hAnsi="Tahoma" w:cs="Tahoma"/>
                <w:sz w:val="24"/>
                <w:szCs w:val="24"/>
              </w:rPr>
            </w:pPr>
            <w:r>
              <w:rPr>
                <w:rFonts w:ascii="Tahoma" w:hAnsi="Tahoma" w:cs="Tahoma"/>
                <w:sz w:val="24"/>
                <w:szCs w:val="24"/>
              </w:rPr>
              <w:t>Pod 1</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Pod 1</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Cl3 Hub Group</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Cl3 Hub Group</w:t>
            </w:r>
          </w:p>
          <w:p>
            <w:pPr>
              <w:jc w:val="center"/>
              <w:rPr>
                <w:rFonts w:ascii="Tahoma" w:hAnsi="Tahoma" w:cs="Tahoma"/>
                <w:sz w:val="24"/>
                <w:szCs w:val="24"/>
              </w:rPr>
            </w:pPr>
          </w:p>
        </w:tc>
      </w:tr>
      <w:tr>
        <w:tc>
          <w:tcPr>
            <w:tcW w:w="2564" w:type="dxa"/>
          </w:tcPr>
          <w:p>
            <w:pPr>
              <w:rPr>
                <w:rFonts w:ascii="Tahoma" w:hAnsi="Tahoma" w:cs="Tahoma"/>
                <w:sz w:val="24"/>
                <w:szCs w:val="24"/>
              </w:rPr>
            </w:pPr>
            <w:r>
              <w:rPr>
                <w:rFonts w:ascii="Tahoma" w:hAnsi="Tahoma" w:cs="Tahoma"/>
                <w:sz w:val="24"/>
                <w:szCs w:val="24"/>
              </w:rPr>
              <w:t>Class 4</w:t>
            </w:r>
          </w:p>
        </w:tc>
        <w:tc>
          <w:tcPr>
            <w:tcW w:w="2564" w:type="dxa"/>
          </w:tcPr>
          <w:p>
            <w:pPr>
              <w:jc w:val="center"/>
              <w:rPr>
                <w:rFonts w:ascii="Tahoma" w:hAnsi="Tahoma" w:cs="Tahoma"/>
                <w:sz w:val="24"/>
                <w:szCs w:val="24"/>
              </w:rPr>
            </w:pPr>
            <w:r>
              <w:rPr>
                <w:rFonts w:ascii="Tahoma" w:hAnsi="Tahoma" w:cs="Tahoma"/>
                <w:sz w:val="24"/>
                <w:szCs w:val="24"/>
              </w:rPr>
              <w:t>Distance learning preparation</w:t>
            </w:r>
          </w:p>
        </w:tc>
        <w:tc>
          <w:tcPr>
            <w:tcW w:w="2565" w:type="dxa"/>
          </w:tcPr>
          <w:p>
            <w:pPr>
              <w:jc w:val="center"/>
              <w:rPr>
                <w:rFonts w:ascii="Tahoma" w:hAnsi="Tahoma" w:cs="Tahoma"/>
                <w:sz w:val="24"/>
                <w:szCs w:val="24"/>
              </w:rPr>
            </w:pPr>
            <w:r>
              <w:rPr>
                <w:rFonts w:ascii="Tahoma" w:hAnsi="Tahoma" w:cs="Tahoma"/>
                <w:sz w:val="24"/>
                <w:szCs w:val="24"/>
              </w:rPr>
              <w:t>Pod 1</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Pod 1</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Pod 2</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Cl 4 Hub group</w:t>
            </w:r>
          </w:p>
          <w:p>
            <w:pPr>
              <w:jc w:val="center"/>
              <w:rPr>
                <w:rFonts w:ascii="Tahoma" w:hAnsi="Tahoma" w:cs="Tahoma"/>
                <w:sz w:val="24"/>
                <w:szCs w:val="24"/>
              </w:rPr>
            </w:pPr>
          </w:p>
        </w:tc>
      </w:tr>
      <w:tr>
        <w:tc>
          <w:tcPr>
            <w:tcW w:w="2564" w:type="dxa"/>
          </w:tcPr>
          <w:p>
            <w:pPr>
              <w:rPr>
                <w:rFonts w:ascii="Tahoma" w:hAnsi="Tahoma" w:cs="Tahoma"/>
                <w:sz w:val="24"/>
                <w:szCs w:val="24"/>
              </w:rPr>
            </w:pPr>
            <w:r>
              <w:rPr>
                <w:rFonts w:ascii="Tahoma" w:hAnsi="Tahoma" w:cs="Tahoma"/>
                <w:sz w:val="24"/>
                <w:szCs w:val="24"/>
              </w:rPr>
              <w:t>Class 5</w:t>
            </w:r>
          </w:p>
        </w:tc>
        <w:tc>
          <w:tcPr>
            <w:tcW w:w="2564" w:type="dxa"/>
          </w:tcPr>
          <w:p>
            <w:pPr>
              <w:jc w:val="center"/>
              <w:rPr>
                <w:rFonts w:ascii="Tahoma" w:hAnsi="Tahoma" w:cs="Tahoma"/>
                <w:sz w:val="24"/>
                <w:szCs w:val="24"/>
              </w:rPr>
            </w:pPr>
            <w:r>
              <w:rPr>
                <w:rFonts w:ascii="Tahoma" w:hAnsi="Tahoma" w:cs="Tahoma"/>
                <w:sz w:val="24"/>
                <w:szCs w:val="24"/>
              </w:rPr>
              <w:t>Distance learning preparation</w:t>
            </w:r>
          </w:p>
        </w:tc>
        <w:tc>
          <w:tcPr>
            <w:tcW w:w="2565" w:type="dxa"/>
          </w:tcPr>
          <w:p>
            <w:pPr>
              <w:jc w:val="center"/>
              <w:rPr>
                <w:rFonts w:ascii="Tahoma" w:hAnsi="Tahoma" w:cs="Tahoma"/>
                <w:sz w:val="24"/>
                <w:szCs w:val="24"/>
              </w:rPr>
            </w:pPr>
            <w:r>
              <w:rPr>
                <w:rFonts w:ascii="Tahoma" w:hAnsi="Tahoma" w:cs="Tahoma"/>
                <w:sz w:val="24"/>
                <w:szCs w:val="24"/>
              </w:rPr>
              <w:t>Pod 1</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Pod 1</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Pod 2</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Pod 2</w:t>
            </w:r>
          </w:p>
          <w:p>
            <w:pPr>
              <w:jc w:val="center"/>
              <w:rPr>
                <w:rFonts w:ascii="Tahoma" w:hAnsi="Tahoma" w:cs="Tahoma"/>
                <w:sz w:val="24"/>
                <w:szCs w:val="24"/>
              </w:rPr>
            </w:pPr>
          </w:p>
        </w:tc>
      </w:tr>
      <w:tr>
        <w:tc>
          <w:tcPr>
            <w:tcW w:w="2564" w:type="dxa"/>
          </w:tcPr>
          <w:p>
            <w:pPr>
              <w:rPr>
                <w:rFonts w:ascii="Tahoma" w:hAnsi="Tahoma" w:cs="Tahoma"/>
                <w:sz w:val="24"/>
                <w:szCs w:val="24"/>
              </w:rPr>
            </w:pPr>
            <w:r>
              <w:rPr>
                <w:rFonts w:ascii="Tahoma" w:hAnsi="Tahoma" w:cs="Tahoma"/>
                <w:sz w:val="24"/>
                <w:szCs w:val="24"/>
              </w:rPr>
              <w:t>Hub</w:t>
            </w:r>
          </w:p>
        </w:tc>
        <w:tc>
          <w:tcPr>
            <w:tcW w:w="2564" w:type="dxa"/>
          </w:tcPr>
          <w:p>
            <w:pPr>
              <w:jc w:val="center"/>
              <w:rPr>
                <w:rFonts w:ascii="Tahoma" w:hAnsi="Tahoma" w:cs="Tahoma"/>
                <w:sz w:val="24"/>
                <w:szCs w:val="24"/>
              </w:rPr>
            </w:pPr>
            <w:r>
              <w:rPr>
                <w:rFonts w:ascii="Tahoma" w:hAnsi="Tahoma" w:cs="Tahoma"/>
                <w:sz w:val="24"/>
                <w:szCs w:val="24"/>
              </w:rPr>
              <w:t>Hub</w:t>
            </w:r>
          </w:p>
        </w:tc>
        <w:tc>
          <w:tcPr>
            <w:tcW w:w="2565" w:type="dxa"/>
          </w:tcPr>
          <w:p>
            <w:pPr>
              <w:jc w:val="center"/>
              <w:rPr>
                <w:rFonts w:ascii="Tahoma" w:hAnsi="Tahoma" w:cs="Tahoma"/>
                <w:sz w:val="24"/>
                <w:szCs w:val="24"/>
              </w:rPr>
            </w:pPr>
            <w:r>
              <w:rPr>
                <w:rFonts w:ascii="Tahoma" w:hAnsi="Tahoma" w:cs="Tahoma"/>
                <w:sz w:val="24"/>
                <w:szCs w:val="24"/>
              </w:rPr>
              <w:t>Hub</w:t>
            </w:r>
          </w:p>
        </w:tc>
        <w:tc>
          <w:tcPr>
            <w:tcW w:w="2565" w:type="dxa"/>
          </w:tcPr>
          <w:p>
            <w:pPr>
              <w:jc w:val="center"/>
              <w:rPr>
                <w:rFonts w:ascii="Tahoma" w:hAnsi="Tahoma" w:cs="Tahoma"/>
                <w:sz w:val="24"/>
                <w:szCs w:val="24"/>
              </w:rPr>
            </w:pPr>
            <w:r>
              <w:rPr>
                <w:rFonts w:ascii="Tahoma" w:hAnsi="Tahoma" w:cs="Tahoma"/>
                <w:sz w:val="24"/>
                <w:szCs w:val="24"/>
              </w:rPr>
              <w:t>Hub</w:t>
            </w:r>
          </w:p>
        </w:tc>
        <w:tc>
          <w:tcPr>
            <w:tcW w:w="2565" w:type="dxa"/>
          </w:tcPr>
          <w:p>
            <w:pPr>
              <w:jc w:val="center"/>
              <w:rPr>
                <w:rFonts w:ascii="Tahoma" w:hAnsi="Tahoma" w:cs="Tahoma"/>
                <w:sz w:val="24"/>
                <w:szCs w:val="24"/>
              </w:rPr>
            </w:pPr>
            <w:r>
              <w:rPr>
                <w:rFonts w:ascii="Tahoma" w:hAnsi="Tahoma" w:cs="Tahoma"/>
                <w:sz w:val="24"/>
                <w:szCs w:val="24"/>
              </w:rPr>
              <w:t>Hub</w:t>
            </w:r>
          </w:p>
        </w:tc>
        <w:tc>
          <w:tcPr>
            <w:tcW w:w="2565" w:type="dxa"/>
          </w:tcPr>
          <w:p>
            <w:pPr>
              <w:jc w:val="center"/>
              <w:rPr>
                <w:rFonts w:ascii="Tahoma" w:hAnsi="Tahoma" w:cs="Tahoma"/>
                <w:sz w:val="24"/>
                <w:szCs w:val="24"/>
              </w:rPr>
            </w:pPr>
            <w:r>
              <w:rPr>
                <w:rFonts w:ascii="Tahoma" w:hAnsi="Tahoma" w:cs="Tahoma"/>
                <w:sz w:val="24"/>
                <w:szCs w:val="24"/>
              </w:rPr>
              <w:t>Hub</w:t>
            </w:r>
          </w:p>
        </w:tc>
      </w:tr>
    </w:tbl>
    <w:p/>
    <w:tbl>
      <w:tblPr>
        <w:tblStyle w:val="TableGrid"/>
        <w:tblW w:w="0" w:type="auto"/>
        <w:tblLook w:val="04A0" w:firstRow="1" w:lastRow="0" w:firstColumn="1" w:lastColumn="0" w:noHBand="0" w:noVBand="1"/>
      </w:tblPr>
      <w:tblGrid>
        <w:gridCol w:w="2564"/>
        <w:gridCol w:w="2564"/>
        <w:gridCol w:w="2565"/>
        <w:gridCol w:w="2565"/>
        <w:gridCol w:w="2565"/>
        <w:gridCol w:w="2565"/>
      </w:tblGrid>
      <w:tr>
        <w:tc>
          <w:tcPr>
            <w:tcW w:w="2564" w:type="dxa"/>
          </w:tcPr>
          <w:p>
            <w:pPr>
              <w:rPr>
                <w:rFonts w:ascii="Tahoma" w:hAnsi="Tahoma" w:cs="Tahoma"/>
                <w:b/>
                <w:bCs/>
                <w:sz w:val="24"/>
                <w:szCs w:val="24"/>
              </w:rPr>
            </w:pPr>
            <w:r>
              <w:rPr>
                <w:rFonts w:ascii="Tahoma" w:hAnsi="Tahoma" w:cs="Tahoma"/>
                <w:b/>
                <w:bCs/>
                <w:sz w:val="24"/>
                <w:szCs w:val="24"/>
              </w:rPr>
              <w:t>Week 2</w:t>
            </w:r>
          </w:p>
        </w:tc>
        <w:tc>
          <w:tcPr>
            <w:tcW w:w="2564" w:type="dxa"/>
          </w:tcPr>
          <w:p>
            <w:pPr>
              <w:jc w:val="center"/>
              <w:rPr>
                <w:rFonts w:ascii="Tahoma" w:hAnsi="Tahoma" w:cs="Tahoma"/>
                <w:sz w:val="24"/>
                <w:szCs w:val="24"/>
              </w:rPr>
            </w:pPr>
            <w:r>
              <w:rPr>
                <w:rFonts w:ascii="Tahoma" w:hAnsi="Tahoma" w:cs="Tahoma"/>
                <w:sz w:val="24"/>
                <w:szCs w:val="24"/>
              </w:rPr>
              <w:t>Monday</w:t>
            </w:r>
          </w:p>
          <w:p>
            <w:pPr>
              <w:jc w:val="center"/>
              <w:rPr>
                <w:rFonts w:ascii="Tahoma" w:hAnsi="Tahoma" w:cs="Tahoma"/>
                <w:sz w:val="24"/>
                <w:szCs w:val="24"/>
              </w:rPr>
            </w:pPr>
            <w:r>
              <w:rPr>
                <w:rFonts w:ascii="Tahoma" w:hAnsi="Tahoma" w:cs="Tahoma"/>
                <w:sz w:val="24"/>
                <w:szCs w:val="24"/>
              </w:rPr>
              <w:t>6</w:t>
            </w:r>
            <w:r>
              <w:rPr>
                <w:rFonts w:ascii="Tahoma" w:hAnsi="Tahoma" w:cs="Tahoma"/>
                <w:sz w:val="24"/>
                <w:szCs w:val="24"/>
                <w:vertAlign w:val="superscript"/>
              </w:rPr>
              <w:t>th</w:t>
            </w:r>
            <w:r>
              <w:rPr>
                <w:rFonts w:ascii="Tahoma" w:hAnsi="Tahoma" w:cs="Tahoma"/>
                <w:sz w:val="24"/>
                <w:szCs w:val="24"/>
              </w:rPr>
              <w:t xml:space="preserve"> July</w:t>
            </w:r>
          </w:p>
        </w:tc>
        <w:tc>
          <w:tcPr>
            <w:tcW w:w="2565" w:type="dxa"/>
          </w:tcPr>
          <w:p>
            <w:pPr>
              <w:jc w:val="center"/>
              <w:rPr>
                <w:rFonts w:ascii="Tahoma" w:hAnsi="Tahoma" w:cs="Tahoma"/>
                <w:sz w:val="24"/>
                <w:szCs w:val="24"/>
              </w:rPr>
            </w:pPr>
            <w:r>
              <w:rPr>
                <w:rFonts w:ascii="Tahoma" w:hAnsi="Tahoma" w:cs="Tahoma"/>
                <w:sz w:val="24"/>
                <w:szCs w:val="24"/>
              </w:rPr>
              <w:t>Tuesday</w:t>
            </w:r>
          </w:p>
          <w:p>
            <w:pPr>
              <w:jc w:val="center"/>
              <w:rPr>
                <w:rFonts w:ascii="Tahoma" w:hAnsi="Tahoma" w:cs="Tahoma"/>
                <w:sz w:val="24"/>
                <w:szCs w:val="24"/>
              </w:rPr>
            </w:pPr>
            <w:r>
              <w:rPr>
                <w:rFonts w:ascii="Tahoma" w:hAnsi="Tahoma" w:cs="Tahoma"/>
                <w:sz w:val="24"/>
                <w:szCs w:val="24"/>
              </w:rPr>
              <w:t>7</w:t>
            </w:r>
            <w:r>
              <w:rPr>
                <w:rFonts w:ascii="Tahoma" w:hAnsi="Tahoma" w:cs="Tahoma"/>
                <w:sz w:val="24"/>
                <w:szCs w:val="24"/>
                <w:vertAlign w:val="superscript"/>
              </w:rPr>
              <w:t>th</w:t>
            </w:r>
            <w:r>
              <w:rPr>
                <w:rFonts w:ascii="Tahoma" w:hAnsi="Tahoma" w:cs="Tahoma"/>
                <w:sz w:val="24"/>
                <w:szCs w:val="24"/>
              </w:rPr>
              <w:t xml:space="preserve"> July</w:t>
            </w:r>
          </w:p>
        </w:tc>
        <w:tc>
          <w:tcPr>
            <w:tcW w:w="2565" w:type="dxa"/>
          </w:tcPr>
          <w:p>
            <w:pPr>
              <w:jc w:val="center"/>
              <w:rPr>
                <w:rFonts w:ascii="Tahoma" w:hAnsi="Tahoma" w:cs="Tahoma"/>
                <w:sz w:val="24"/>
                <w:szCs w:val="24"/>
              </w:rPr>
            </w:pPr>
            <w:r>
              <w:rPr>
                <w:rFonts w:ascii="Tahoma" w:hAnsi="Tahoma" w:cs="Tahoma"/>
                <w:sz w:val="24"/>
                <w:szCs w:val="24"/>
              </w:rPr>
              <w:t>Wednesday</w:t>
            </w:r>
          </w:p>
          <w:p>
            <w:pPr>
              <w:jc w:val="center"/>
              <w:rPr>
                <w:rFonts w:ascii="Tahoma" w:hAnsi="Tahoma" w:cs="Tahoma"/>
                <w:sz w:val="24"/>
                <w:szCs w:val="24"/>
              </w:rPr>
            </w:pPr>
            <w:r>
              <w:rPr>
                <w:rFonts w:ascii="Tahoma" w:hAnsi="Tahoma" w:cs="Tahoma"/>
                <w:sz w:val="24"/>
                <w:szCs w:val="24"/>
              </w:rPr>
              <w:t>8</w:t>
            </w:r>
            <w:r>
              <w:rPr>
                <w:rFonts w:ascii="Tahoma" w:hAnsi="Tahoma" w:cs="Tahoma"/>
                <w:sz w:val="24"/>
                <w:szCs w:val="24"/>
                <w:vertAlign w:val="superscript"/>
              </w:rPr>
              <w:t>th</w:t>
            </w:r>
            <w:r>
              <w:rPr>
                <w:rFonts w:ascii="Tahoma" w:hAnsi="Tahoma" w:cs="Tahoma"/>
                <w:sz w:val="24"/>
                <w:szCs w:val="24"/>
              </w:rPr>
              <w:t xml:space="preserve">  July</w:t>
            </w:r>
          </w:p>
        </w:tc>
        <w:tc>
          <w:tcPr>
            <w:tcW w:w="2565" w:type="dxa"/>
          </w:tcPr>
          <w:p>
            <w:pPr>
              <w:jc w:val="center"/>
              <w:rPr>
                <w:rFonts w:ascii="Tahoma" w:hAnsi="Tahoma" w:cs="Tahoma"/>
                <w:sz w:val="24"/>
                <w:szCs w:val="24"/>
              </w:rPr>
            </w:pPr>
            <w:r>
              <w:rPr>
                <w:rFonts w:ascii="Tahoma" w:hAnsi="Tahoma" w:cs="Tahoma"/>
                <w:sz w:val="24"/>
                <w:szCs w:val="24"/>
              </w:rPr>
              <w:t>Thursday</w:t>
            </w:r>
          </w:p>
          <w:p>
            <w:pPr>
              <w:jc w:val="center"/>
              <w:rPr>
                <w:rFonts w:ascii="Tahoma" w:hAnsi="Tahoma" w:cs="Tahoma"/>
                <w:sz w:val="24"/>
                <w:szCs w:val="24"/>
              </w:rPr>
            </w:pPr>
            <w:r>
              <w:rPr>
                <w:rFonts w:ascii="Tahoma" w:hAnsi="Tahoma" w:cs="Tahoma"/>
                <w:sz w:val="24"/>
                <w:szCs w:val="24"/>
              </w:rPr>
              <w:t>9</w:t>
            </w:r>
            <w:r>
              <w:rPr>
                <w:rFonts w:ascii="Tahoma" w:hAnsi="Tahoma" w:cs="Tahoma"/>
                <w:sz w:val="24"/>
                <w:szCs w:val="24"/>
                <w:vertAlign w:val="superscript"/>
              </w:rPr>
              <w:t>th</w:t>
            </w:r>
            <w:r>
              <w:rPr>
                <w:rFonts w:ascii="Tahoma" w:hAnsi="Tahoma" w:cs="Tahoma"/>
                <w:sz w:val="24"/>
                <w:szCs w:val="24"/>
              </w:rPr>
              <w:t xml:space="preserve"> July</w:t>
            </w:r>
          </w:p>
        </w:tc>
        <w:tc>
          <w:tcPr>
            <w:tcW w:w="2565" w:type="dxa"/>
          </w:tcPr>
          <w:p>
            <w:pPr>
              <w:jc w:val="center"/>
              <w:rPr>
                <w:rFonts w:ascii="Tahoma" w:hAnsi="Tahoma" w:cs="Tahoma"/>
                <w:sz w:val="24"/>
                <w:szCs w:val="24"/>
              </w:rPr>
            </w:pPr>
            <w:r>
              <w:rPr>
                <w:rFonts w:ascii="Tahoma" w:hAnsi="Tahoma" w:cs="Tahoma"/>
                <w:sz w:val="24"/>
                <w:szCs w:val="24"/>
              </w:rPr>
              <w:t xml:space="preserve">Friday </w:t>
            </w:r>
          </w:p>
          <w:p>
            <w:pPr>
              <w:jc w:val="center"/>
              <w:rPr>
                <w:rFonts w:ascii="Tahoma" w:hAnsi="Tahoma" w:cs="Tahoma"/>
                <w:sz w:val="24"/>
                <w:szCs w:val="24"/>
              </w:rPr>
            </w:pPr>
            <w:r>
              <w:rPr>
                <w:rFonts w:ascii="Tahoma" w:hAnsi="Tahoma" w:cs="Tahoma"/>
                <w:sz w:val="24"/>
                <w:szCs w:val="24"/>
              </w:rPr>
              <w:t>10</w:t>
            </w:r>
            <w:r>
              <w:rPr>
                <w:rFonts w:ascii="Tahoma" w:hAnsi="Tahoma" w:cs="Tahoma"/>
                <w:sz w:val="24"/>
                <w:szCs w:val="24"/>
                <w:vertAlign w:val="superscript"/>
              </w:rPr>
              <w:t>th</w:t>
            </w:r>
            <w:r>
              <w:rPr>
                <w:rFonts w:ascii="Tahoma" w:hAnsi="Tahoma" w:cs="Tahoma"/>
                <w:sz w:val="24"/>
                <w:szCs w:val="24"/>
              </w:rPr>
              <w:t xml:space="preserve">  July</w:t>
            </w:r>
          </w:p>
        </w:tc>
      </w:tr>
      <w:tr>
        <w:tc>
          <w:tcPr>
            <w:tcW w:w="2564" w:type="dxa"/>
          </w:tcPr>
          <w:p>
            <w:pPr>
              <w:rPr>
                <w:rFonts w:ascii="Tahoma" w:hAnsi="Tahoma" w:cs="Tahoma"/>
                <w:sz w:val="24"/>
                <w:szCs w:val="24"/>
              </w:rPr>
            </w:pPr>
            <w:r>
              <w:rPr>
                <w:rFonts w:ascii="Tahoma" w:hAnsi="Tahoma" w:cs="Tahoma"/>
                <w:sz w:val="24"/>
                <w:szCs w:val="24"/>
              </w:rPr>
              <w:t>LSC</w:t>
            </w:r>
          </w:p>
          <w:p>
            <w:pPr>
              <w:rPr>
                <w:rFonts w:ascii="Tahoma" w:hAnsi="Tahoma" w:cs="Tahoma"/>
                <w:sz w:val="24"/>
                <w:szCs w:val="24"/>
              </w:rPr>
            </w:pPr>
            <w:r>
              <w:rPr>
                <w:rFonts w:ascii="Tahoma" w:hAnsi="Tahoma" w:cs="Tahoma"/>
                <w:sz w:val="24"/>
                <w:szCs w:val="24"/>
              </w:rPr>
              <w:t>Pod</w:t>
            </w:r>
          </w:p>
        </w:tc>
        <w:tc>
          <w:tcPr>
            <w:tcW w:w="2564" w:type="dxa"/>
          </w:tcPr>
          <w:p>
            <w:pPr>
              <w:jc w:val="center"/>
              <w:rPr>
                <w:rFonts w:ascii="Tahoma" w:hAnsi="Tahoma" w:cs="Tahoma"/>
                <w:sz w:val="24"/>
                <w:szCs w:val="24"/>
              </w:rPr>
            </w:pPr>
            <w:r>
              <w:rPr>
                <w:rFonts w:ascii="Tahoma" w:hAnsi="Tahoma" w:cs="Tahoma"/>
                <w:sz w:val="24"/>
                <w:szCs w:val="24"/>
              </w:rPr>
              <w:t>Class 1</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Class 1</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Class 1</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Class 6</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Class 6</w:t>
            </w:r>
          </w:p>
          <w:p>
            <w:pPr>
              <w:jc w:val="center"/>
              <w:rPr>
                <w:rFonts w:ascii="Tahoma" w:hAnsi="Tahoma" w:cs="Tahoma"/>
                <w:sz w:val="24"/>
                <w:szCs w:val="24"/>
              </w:rPr>
            </w:pPr>
          </w:p>
        </w:tc>
      </w:tr>
      <w:tr>
        <w:tc>
          <w:tcPr>
            <w:tcW w:w="2564" w:type="dxa"/>
          </w:tcPr>
          <w:p>
            <w:pPr>
              <w:rPr>
                <w:rFonts w:ascii="Tahoma" w:hAnsi="Tahoma" w:cs="Tahoma"/>
                <w:sz w:val="24"/>
                <w:szCs w:val="24"/>
              </w:rPr>
            </w:pPr>
            <w:r>
              <w:rPr>
                <w:rFonts w:ascii="Tahoma" w:hAnsi="Tahoma" w:cs="Tahoma"/>
                <w:sz w:val="24"/>
                <w:szCs w:val="24"/>
              </w:rPr>
              <w:t>Class 3</w:t>
            </w:r>
          </w:p>
        </w:tc>
        <w:tc>
          <w:tcPr>
            <w:tcW w:w="2564" w:type="dxa"/>
          </w:tcPr>
          <w:p>
            <w:pPr>
              <w:jc w:val="center"/>
              <w:rPr>
                <w:rFonts w:ascii="Tahoma" w:hAnsi="Tahoma" w:cs="Tahoma"/>
                <w:sz w:val="24"/>
                <w:szCs w:val="24"/>
              </w:rPr>
            </w:pPr>
            <w:r>
              <w:rPr>
                <w:rFonts w:ascii="Tahoma" w:hAnsi="Tahoma" w:cs="Tahoma"/>
                <w:sz w:val="24"/>
                <w:szCs w:val="24"/>
              </w:rPr>
              <w:t>Pod 1</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Pod 1</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Cl3 Hub group</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Cl3 Hub group</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Distance learning preparation</w:t>
            </w:r>
          </w:p>
        </w:tc>
      </w:tr>
      <w:tr>
        <w:tc>
          <w:tcPr>
            <w:tcW w:w="2564" w:type="dxa"/>
          </w:tcPr>
          <w:p>
            <w:pPr>
              <w:rPr>
                <w:rFonts w:ascii="Tahoma" w:hAnsi="Tahoma" w:cs="Tahoma"/>
                <w:sz w:val="24"/>
                <w:szCs w:val="24"/>
              </w:rPr>
            </w:pPr>
            <w:r>
              <w:rPr>
                <w:rFonts w:ascii="Tahoma" w:hAnsi="Tahoma" w:cs="Tahoma"/>
                <w:sz w:val="24"/>
                <w:szCs w:val="24"/>
              </w:rPr>
              <w:t>Class 4</w:t>
            </w:r>
          </w:p>
        </w:tc>
        <w:tc>
          <w:tcPr>
            <w:tcW w:w="2564" w:type="dxa"/>
          </w:tcPr>
          <w:p>
            <w:pPr>
              <w:jc w:val="center"/>
              <w:rPr>
                <w:rFonts w:ascii="Tahoma" w:hAnsi="Tahoma" w:cs="Tahoma"/>
                <w:sz w:val="24"/>
                <w:szCs w:val="24"/>
              </w:rPr>
            </w:pPr>
            <w:r>
              <w:rPr>
                <w:rFonts w:ascii="Tahoma" w:hAnsi="Tahoma" w:cs="Tahoma"/>
                <w:sz w:val="24"/>
                <w:szCs w:val="24"/>
              </w:rPr>
              <w:t>Pod 2</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Pod 2</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Cl4 Hub group</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Pod 1</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Distance learning preparation</w:t>
            </w:r>
          </w:p>
        </w:tc>
      </w:tr>
      <w:tr>
        <w:tc>
          <w:tcPr>
            <w:tcW w:w="2564" w:type="dxa"/>
          </w:tcPr>
          <w:p>
            <w:pPr>
              <w:rPr>
                <w:rFonts w:ascii="Tahoma" w:hAnsi="Tahoma" w:cs="Tahoma"/>
                <w:sz w:val="24"/>
                <w:szCs w:val="24"/>
              </w:rPr>
            </w:pPr>
            <w:r>
              <w:rPr>
                <w:rFonts w:ascii="Tahoma" w:hAnsi="Tahoma" w:cs="Tahoma"/>
                <w:sz w:val="24"/>
                <w:szCs w:val="24"/>
              </w:rPr>
              <w:t>Class 5</w:t>
            </w:r>
          </w:p>
        </w:tc>
        <w:tc>
          <w:tcPr>
            <w:tcW w:w="2564" w:type="dxa"/>
          </w:tcPr>
          <w:p>
            <w:pPr>
              <w:jc w:val="center"/>
              <w:rPr>
                <w:rFonts w:ascii="Tahoma" w:hAnsi="Tahoma" w:cs="Tahoma"/>
                <w:sz w:val="24"/>
                <w:szCs w:val="24"/>
              </w:rPr>
            </w:pPr>
            <w:r>
              <w:rPr>
                <w:rFonts w:ascii="Tahoma" w:hAnsi="Tahoma" w:cs="Tahoma"/>
                <w:sz w:val="24"/>
                <w:szCs w:val="24"/>
              </w:rPr>
              <w:t xml:space="preserve">Pod 1 </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Pod 1</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Pod 2</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Pod 2</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Distance learning preparation</w:t>
            </w:r>
          </w:p>
        </w:tc>
      </w:tr>
      <w:tr>
        <w:tc>
          <w:tcPr>
            <w:tcW w:w="2564" w:type="dxa"/>
          </w:tcPr>
          <w:p>
            <w:pPr>
              <w:rPr>
                <w:rFonts w:ascii="Tahoma" w:hAnsi="Tahoma" w:cs="Tahoma"/>
                <w:sz w:val="24"/>
                <w:szCs w:val="24"/>
              </w:rPr>
            </w:pPr>
            <w:r>
              <w:rPr>
                <w:rFonts w:ascii="Tahoma" w:hAnsi="Tahoma" w:cs="Tahoma"/>
                <w:sz w:val="24"/>
                <w:szCs w:val="24"/>
              </w:rPr>
              <w:t>Hub</w:t>
            </w:r>
          </w:p>
        </w:tc>
        <w:tc>
          <w:tcPr>
            <w:tcW w:w="2564" w:type="dxa"/>
          </w:tcPr>
          <w:p>
            <w:pPr>
              <w:jc w:val="center"/>
            </w:pPr>
            <w:r>
              <w:rPr>
                <w:rFonts w:ascii="Tahoma" w:hAnsi="Tahoma" w:cs="Tahoma"/>
                <w:sz w:val="24"/>
                <w:szCs w:val="24"/>
              </w:rPr>
              <w:t>Hub</w:t>
            </w:r>
          </w:p>
        </w:tc>
        <w:tc>
          <w:tcPr>
            <w:tcW w:w="2565" w:type="dxa"/>
          </w:tcPr>
          <w:p>
            <w:pPr>
              <w:jc w:val="center"/>
            </w:pPr>
            <w:r>
              <w:rPr>
                <w:rFonts w:ascii="Tahoma" w:hAnsi="Tahoma" w:cs="Tahoma"/>
                <w:sz w:val="24"/>
                <w:szCs w:val="24"/>
              </w:rPr>
              <w:t>Hub</w:t>
            </w:r>
          </w:p>
        </w:tc>
        <w:tc>
          <w:tcPr>
            <w:tcW w:w="2565" w:type="dxa"/>
          </w:tcPr>
          <w:p>
            <w:pPr>
              <w:jc w:val="center"/>
            </w:pPr>
            <w:r>
              <w:rPr>
                <w:rFonts w:ascii="Tahoma" w:hAnsi="Tahoma" w:cs="Tahoma"/>
                <w:sz w:val="24"/>
                <w:szCs w:val="24"/>
              </w:rPr>
              <w:t>Hub</w:t>
            </w:r>
          </w:p>
        </w:tc>
        <w:tc>
          <w:tcPr>
            <w:tcW w:w="2565" w:type="dxa"/>
          </w:tcPr>
          <w:p>
            <w:pPr>
              <w:jc w:val="center"/>
            </w:pPr>
            <w:r>
              <w:rPr>
                <w:rFonts w:ascii="Tahoma" w:hAnsi="Tahoma" w:cs="Tahoma"/>
                <w:sz w:val="24"/>
                <w:szCs w:val="24"/>
              </w:rPr>
              <w:t>Hub</w:t>
            </w:r>
          </w:p>
        </w:tc>
        <w:tc>
          <w:tcPr>
            <w:tcW w:w="2565" w:type="dxa"/>
          </w:tcPr>
          <w:p>
            <w:pPr>
              <w:jc w:val="center"/>
            </w:pPr>
            <w:r>
              <w:rPr>
                <w:rFonts w:ascii="Tahoma" w:hAnsi="Tahoma" w:cs="Tahoma"/>
                <w:sz w:val="24"/>
                <w:szCs w:val="24"/>
              </w:rPr>
              <w:t>Hub</w:t>
            </w:r>
          </w:p>
        </w:tc>
      </w:tr>
    </w:tbl>
    <w:p>
      <w:pPr>
        <w:rPr>
          <w:sz w:val="10"/>
          <w:szCs w:val="10"/>
        </w:rPr>
      </w:pPr>
    </w:p>
    <w:p>
      <w:pPr>
        <w:jc w:val="right"/>
        <w:rPr>
          <w:rFonts w:ascii="Tahoma" w:hAnsi="Tahoma" w:cs="Tahoma"/>
          <w:sz w:val="24"/>
          <w:szCs w:val="24"/>
        </w:rPr>
      </w:pPr>
      <w:r>
        <w:rPr>
          <w:rFonts w:ascii="Tahoma" w:hAnsi="Tahoma" w:cs="Tahoma"/>
          <w:sz w:val="24"/>
          <w:szCs w:val="24"/>
        </w:rPr>
        <w:t xml:space="preserve">Continued below…..  </w:t>
      </w:r>
    </w:p>
    <w:p>
      <w:pPr>
        <w:jc w:val="right"/>
        <w:rPr>
          <w:rFonts w:ascii="Tahoma" w:hAnsi="Tahoma" w:cs="Tahoma"/>
          <w:sz w:val="24"/>
          <w:szCs w:val="24"/>
        </w:rPr>
      </w:pPr>
    </w:p>
    <w:p>
      <w:pPr>
        <w:jc w:val="right"/>
        <w:rPr>
          <w:rFonts w:ascii="Tahoma" w:hAnsi="Tahoma" w:cs="Tahoma"/>
          <w:sz w:val="24"/>
          <w:szCs w:val="24"/>
        </w:rPr>
      </w:pPr>
    </w:p>
    <w:p>
      <w:pPr>
        <w:rPr>
          <w:rFonts w:ascii="Tahoma" w:hAnsi="Tahoma" w:cs="Tahoma"/>
          <w:sz w:val="24"/>
          <w:szCs w:val="24"/>
        </w:rPr>
      </w:pPr>
      <w:r>
        <w:rPr>
          <w:rFonts w:ascii="Tahoma" w:hAnsi="Tahoma" w:cs="Tahoma"/>
          <w:sz w:val="24"/>
          <w:szCs w:val="24"/>
        </w:rPr>
        <w:t xml:space="preserve"> </w:t>
      </w:r>
    </w:p>
    <w:tbl>
      <w:tblPr>
        <w:tblStyle w:val="TableGrid"/>
        <w:tblW w:w="0" w:type="auto"/>
        <w:tblLook w:val="04A0" w:firstRow="1" w:lastRow="0" w:firstColumn="1" w:lastColumn="0" w:noHBand="0" w:noVBand="1"/>
      </w:tblPr>
      <w:tblGrid>
        <w:gridCol w:w="2564"/>
        <w:gridCol w:w="2564"/>
        <w:gridCol w:w="2565"/>
        <w:gridCol w:w="2565"/>
        <w:gridCol w:w="2565"/>
        <w:gridCol w:w="2565"/>
      </w:tblGrid>
      <w:tr>
        <w:tc>
          <w:tcPr>
            <w:tcW w:w="2564" w:type="dxa"/>
          </w:tcPr>
          <w:p>
            <w:pPr>
              <w:rPr>
                <w:rFonts w:ascii="Tahoma" w:hAnsi="Tahoma" w:cs="Tahoma"/>
                <w:b/>
                <w:bCs/>
                <w:sz w:val="24"/>
                <w:szCs w:val="24"/>
              </w:rPr>
            </w:pPr>
            <w:r>
              <w:rPr>
                <w:rFonts w:ascii="Tahoma" w:hAnsi="Tahoma" w:cs="Tahoma"/>
                <w:b/>
                <w:bCs/>
                <w:sz w:val="24"/>
                <w:szCs w:val="24"/>
              </w:rPr>
              <w:lastRenderedPageBreak/>
              <w:t>Week 3</w:t>
            </w:r>
          </w:p>
        </w:tc>
        <w:tc>
          <w:tcPr>
            <w:tcW w:w="2564" w:type="dxa"/>
          </w:tcPr>
          <w:p>
            <w:pPr>
              <w:jc w:val="center"/>
              <w:rPr>
                <w:rFonts w:ascii="Tahoma" w:hAnsi="Tahoma" w:cs="Tahoma"/>
                <w:sz w:val="24"/>
                <w:szCs w:val="24"/>
              </w:rPr>
            </w:pPr>
            <w:r>
              <w:rPr>
                <w:rFonts w:ascii="Tahoma" w:hAnsi="Tahoma" w:cs="Tahoma"/>
                <w:sz w:val="24"/>
                <w:szCs w:val="24"/>
              </w:rPr>
              <w:t>Monday</w:t>
            </w:r>
          </w:p>
          <w:p>
            <w:pPr>
              <w:jc w:val="center"/>
              <w:rPr>
                <w:rFonts w:ascii="Tahoma" w:hAnsi="Tahoma" w:cs="Tahoma"/>
                <w:sz w:val="24"/>
                <w:szCs w:val="24"/>
              </w:rPr>
            </w:pPr>
            <w:r>
              <w:rPr>
                <w:rFonts w:ascii="Tahoma" w:hAnsi="Tahoma" w:cs="Tahoma"/>
                <w:sz w:val="24"/>
                <w:szCs w:val="24"/>
              </w:rPr>
              <w:t>13</w:t>
            </w:r>
            <w:r>
              <w:rPr>
                <w:rFonts w:ascii="Tahoma" w:hAnsi="Tahoma" w:cs="Tahoma"/>
                <w:sz w:val="24"/>
                <w:szCs w:val="24"/>
                <w:vertAlign w:val="superscript"/>
              </w:rPr>
              <w:t>th</w:t>
            </w:r>
            <w:r>
              <w:rPr>
                <w:rFonts w:ascii="Tahoma" w:hAnsi="Tahoma" w:cs="Tahoma"/>
                <w:sz w:val="24"/>
                <w:szCs w:val="24"/>
              </w:rPr>
              <w:t xml:space="preserve"> July</w:t>
            </w:r>
          </w:p>
        </w:tc>
        <w:tc>
          <w:tcPr>
            <w:tcW w:w="2565" w:type="dxa"/>
          </w:tcPr>
          <w:p>
            <w:pPr>
              <w:jc w:val="center"/>
              <w:rPr>
                <w:rFonts w:ascii="Tahoma" w:hAnsi="Tahoma" w:cs="Tahoma"/>
                <w:sz w:val="24"/>
                <w:szCs w:val="24"/>
              </w:rPr>
            </w:pPr>
            <w:r>
              <w:rPr>
                <w:rFonts w:ascii="Tahoma" w:hAnsi="Tahoma" w:cs="Tahoma"/>
                <w:sz w:val="24"/>
                <w:szCs w:val="24"/>
              </w:rPr>
              <w:t>Tuesday</w:t>
            </w:r>
          </w:p>
          <w:p>
            <w:pPr>
              <w:jc w:val="center"/>
              <w:rPr>
                <w:rFonts w:ascii="Tahoma" w:hAnsi="Tahoma" w:cs="Tahoma"/>
                <w:sz w:val="24"/>
                <w:szCs w:val="24"/>
              </w:rPr>
            </w:pPr>
            <w:r>
              <w:rPr>
                <w:rFonts w:ascii="Tahoma" w:hAnsi="Tahoma" w:cs="Tahoma"/>
                <w:sz w:val="24"/>
                <w:szCs w:val="24"/>
              </w:rPr>
              <w:t>14</w:t>
            </w:r>
            <w:r>
              <w:rPr>
                <w:rFonts w:ascii="Tahoma" w:hAnsi="Tahoma" w:cs="Tahoma"/>
                <w:sz w:val="24"/>
                <w:szCs w:val="24"/>
                <w:vertAlign w:val="superscript"/>
              </w:rPr>
              <w:t>th</w:t>
            </w:r>
            <w:r>
              <w:rPr>
                <w:rFonts w:ascii="Tahoma" w:hAnsi="Tahoma" w:cs="Tahoma"/>
                <w:sz w:val="24"/>
                <w:szCs w:val="24"/>
              </w:rPr>
              <w:t xml:space="preserve"> July</w:t>
            </w:r>
          </w:p>
        </w:tc>
        <w:tc>
          <w:tcPr>
            <w:tcW w:w="2565" w:type="dxa"/>
          </w:tcPr>
          <w:p>
            <w:pPr>
              <w:jc w:val="center"/>
              <w:rPr>
                <w:rFonts w:ascii="Tahoma" w:hAnsi="Tahoma" w:cs="Tahoma"/>
                <w:sz w:val="24"/>
                <w:szCs w:val="24"/>
              </w:rPr>
            </w:pPr>
            <w:r>
              <w:rPr>
                <w:rFonts w:ascii="Tahoma" w:hAnsi="Tahoma" w:cs="Tahoma"/>
                <w:sz w:val="24"/>
                <w:szCs w:val="24"/>
              </w:rPr>
              <w:t>Wednesday</w:t>
            </w:r>
          </w:p>
          <w:p>
            <w:pPr>
              <w:jc w:val="center"/>
              <w:rPr>
                <w:rFonts w:ascii="Tahoma" w:hAnsi="Tahoma" w:cs="Tahoma"/>
                <w:sz w:val="24"/>
                <w:szCs w:val="24"/>
              </w:rPr>
            </w:pPr>
            <w:r>
              <w:rPr>
                <w:rFonts w:ascii="Tahoma" w:hAnsi="Tahoma" w:cs="Tahoma"/>
                <w:sz w:val="24"/>
                <w:szCs w:val="24"/>
              </w:rPr>
              <w:t>15</w:t>
            </w:r>
            <w:r>
              <w:rPr>
                <w:rFonts w:ascii="Tahoma" w:hAnsi="Tahoma" w:cs="Tahoma"/>
                <w:sz w:val="24"/>
                <w:szCs w:val="24"/>
                <w:vertAlign w:val="superscript"/>
              </w:rPr>
              <w:t>th</w:t>
            </w:r>
            <w:r>
              <w:rPr>
                <w:rFonts w:ascii="Tahoma" w:hAnsi="Tahoma" w:cs="Tahoma"/>
                <w:sz w:val="24"/>
                <w:szCs w:val="24"/>
              </w:rPr>
              <w:t xml:space="preserve"> July</w:t>
            </w:r>
          </w:p>
        </w:tc>
        <w:tc>
          <w:tcPr>
            <w:tcW w:w="2565" w:type="dxa"/>
          </w:tcPr>
          <w:p>
            <w:pPr>
              <w:jc w:val="center"/>
              <w:rPr>
                <w:rFonts w:ascii="Tahoma" w:hAnsi="Tahoma" w:cs="Tahoma"/>
                <w:sz w:val="24"/>
                <w:szCs w:val="24"/>
              </w:rPr>
            </w:pPr>
            <w:r>
              <w:rPr>
                <w:rFonts w:ascii="Tahoma" w:hAnsi="Tahoma" w:cs="Tahoma"/>
                <w:sz w:val="24"/>
                <w:szCs w:val="24"/>
              </w:rPr>
              <w:t>Thursday</w:t>
            </w:r>
          </w:p>
          <w:p>
            <w:pPr>
              <w:jc w:val="center"/>
              <w:rPr>
                <w:rFonts w:ascii="Tahoma" w:hAnsi="Tahoma" w:cs="Tahoma"/>
                <w:sz w:val="24"/>
                <w:szCs w:val="24"/>
              </w:rPr>
            </w:pPr>
            <w:r>
              <w:rPr>
                <w:rFonts w:ascii="Tahoma" w:hAnsi="Tahoma" w:cs="Tahoma"/>
                <w:sz w:val="24"/>
                <w:szCs w:val="24"/>
              </w:rPr>
              <w:t>16</w:t>
            </w:r>
            <w:r>
              <w:rPr>
                <w:rFonts w:ascii="Tahoma" w:hAnsi="Tahoma" w:cs="Tahoma"/>
                <w:sz w:val="24"/>
                <w:szCs w:val="24"/>
                <w:vertAlign w:val="superscript"/>
              </w:rPr>
              <w:t>th</w:t>
            </w:r>
            <w:r>
              <w:rPr>
                <w:rFonts w:ascii="Tahoma" w:hAnsi="Tahoma" w:cs="Tahoma"/>
                <w:sz w:val="24"/>
                <w:szCs w:val="24"/>
              </w:rPr>
              <w:t xml:space="preserve"> July</w:t>
            </w:r>
          </w:p>
        </w:tc>
        <w:tc>
          <w:tcPr>
            <w:tcW w:w="2565" w:type="dxa"/>
          </w:tcPr>
          <w:p>
            <w:pPr>
              <w:jc w:val="center"/>
              <w:rPr>
                <w:rFonts w:ascii="Tahoma" w:hAnsi="Tahoma" w:cs="Tahoma"/>
                <w:sz w:val="24"/>
                <w:szCs w:val="24"/>
              </w:rPr>
            </w:pPr>
            <w:r>
              <w:rPr>
                <w:rFonts w:ascii="Tahoma" w:hAnsi="Tahoma" w:cs="Tahoma"/>
                <w:sz w:val="24"/>
                <w:szCs w:val="24"/>
              </w:rPr>
              <w:t xml:space="preserve">Friday </w:t>
            </w:r>
          </w:p>
          <w:p>
            <w:pPr>
              <w:jc w:val="center"/>
              <w:rPr>
                <w:rFonts w:ascii="Tahoma" w:hAnsi="Tahoma" w:cs="Tahoma"/>
                <w:sz w:val="24"/>
                <w:szCs w:val="24"/>
              </w:rPr>
            </w:pPr>
            <w:r>
              <w:rPr>
                <w:rFonts w:ascii="Tahoma" w:hAnsi="Tahoma" w:cs="Tahoma"/>
                <w:sz w:val="24"/>
                <w:szCs w:val="24"/>
              </w:rPr>
              <w:t>17</w:t>
            </w:r>
            <w:r>
              <w:rPr>
                <w:rFonts w:ascii="Tahoma" w:hAnsi="Tahoma" w:cs="Tahoma"/>
                <w:sz w:val="24"/>
                <w:szCs w:val="24"/>
                <w:vertAlign w:val="superscript"/>
              </w:rPr>
              <w:t>th</w:t>
            </w:r>
            <w:r>
              <w:rPr>
                <w:rFonts w:ascii="Tahoma" w:hAnsi="Tahoma" w:cs="Tahoma"/>
                <w:sz w:val="24"/>
                <w:szCs w:val="24"/>
              </w:rPr>
              <w:t xml:space="preserve"> July</w:t>
            </w:r>
          </w:p>
        </w:tc>
      </w:tr>
      <w:tr>
        <w:tc>
          <w:tcPr>
            <w:tcW w:w="2564" w:type="dxa"/>
          </w:tcPr>
          <w:p>
            <w:pPr>
              <w:rPr>
                <w:rFonts w:ascii="Tahoma" w:hAnsi="Tahoma" w:cs="Tahoma"/>
                <w:sz w:val="24"/>
                <w:szCs w:val="24"/>
              </w:rPr>
            </w:pPr>
            <w:r>
              <w:rPr>
                <w:rFonts w:ascii="Tahoma" w:hAnsi="Tahoma" w:cs="Tahoma"/>
                <w:sz w:val="24"/>
                <w:szCs w:val="24"/>
              </w:rPr>
              <w:t>LSC</w:t>
            </w:r>
          </w:p>
          <w:p>
            <w:pPr>
              <w:rPr>
                <w:rFonts w:ascii="Tahoma" w:hAnsi="Tahoma" w:cs="Tahoma"/>
                <w:sz w:val="24"/>
                <w:szCs w:val="24"/>
              </w:rPr>
            </w:pPr>
            <w:r>
              <w:rPr>
                <w:rFonts w:ascii="Tahoma" w:hAnsi="Tahoma" w:cs="Tahoma"/>
                <w:sz w:val="24"/>
                <w:szCs w:val="24"/>
              </w:rPr>
              <w:t>Pod</w:t>
            </w:r>
          </w:p>
        </w:tc>
        <w:tc>
          <w:tcPr>
            <w:tcW w:w="2564" w:type="dxa"/>
          </w:tcPr>
          <w:p>
            <w:pPr>
              <w:jc w:val="center"/>
              <w:rPr>
                <w:rFonts w:ascii="Tahoma" w:hAnsi="Tahoma" w:cs="Tahoma"/>
                <w:sz w:val="24"/>
                <w:szCs w:val="24"/>
              </w:rPr>
            </w:pPr>
            <w:r>
              <w:rPr>
                <w:rFonts w:ascii="Tahoma" w:hAnsi="Tahoma" w:cs="Tahoma"/>
                <w:sz w:val="24"/>
                <w:szCs w:val="24"/>
              </w:rPr>
              <w:t>Class 6</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Class 6</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Class 6</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Class 1</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Class 1</w:t>
            </w:r>
          </w:p>
          <w:p>
            <w:pPr>
              <w:jc w:val="center"/>
              <w:rPr>
                <w:rFonts w:ascii="Tahoma" w:hAnsi="Tahoma" w:cs="Tahoma"/>
                <w:sz w:val="24"/>
                <w:szCs w:val="24"/>
              </w:rPr>
            </w:pPr>
          </w:p>
        </w:tc>
      </w:tr>
      <w:tr>
        <w:tc>
          <w:tcPr>
            <w:tcW w:w="2564" w:type="dxa"/>
          </w:tcPr>
          <w:p>
            <w:pPr>
              <w:rPr>
                <w:rFonts w:ascii="Tahoma" w:hAnsi="Tahoma" w:cs="Tahoma"/>
                <w:sz w:val="24"/>
                <w:szCs w:val="24"/>
              </w:rPr>
            </w:pPr>
            <w:r>
              <w:rPr>
                <w:rFonts w:ascii="Tahoma" w:hAnsi="Tahoma" w:cs="Tahoma"/>
                <w:sz w:val="24"/>
                <w:szCs w:val="24"/>
              </w:rPr>
              <w:t>Class 3</w:t>
            </w:r>
          </w:p>
        </w:tc>
        <w:tc>
          <w:tcPr>
            <w:tcW w:w="2564" w:type="dxa"/>
          </w:tcPr>
          <w:p>
            <w:pPr>
              <w:jc w:val="center"/>
              <w:rPr>
                <w:rFonts w:ascii="Tahoma" w:hAnsi="Tahoma" w:cs="Tahoma"/>
                <w:sz w:val="24"/>
                <w:szCs w:val="24"/>
              </w:rPr>
            </w:pPr>
            <w:r>
              <w:rPr>
                <w:rFonts w:ascii="Tahoma" w:hAnsi="Tahoma" w:cs="Tahoma"/>
                <w:sz w:val="24"/>
                <w:szCs w:val="24"/>
              </w:rPr>
              <w:t>Pod 1</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Pod 1</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Cl3 Hub group</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Cl3 Hub group</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Distance learning</w:t>
            </w:r>
          </w:p>
          <w:p>
            <w:pPr>
              <w:jc w:val="center"/>
              <w:rPr>
                <w:rFonts w:ascii="Tahoma" w:hAnsi="Tahoma" w:cs="Tahoma"/>
                <w:sz w:val="24"/>
                <w:szCs w:val="24"/>
              </w:rPr>
            </w:pPr>
            <w:r>
              <w:rPr>
                <w:rFonts w:ascii="Tahoma" w:hAnsi="Tahoma" w:cs="Tahoma"/>
                <w:sz w:val="24"/>
                <w:szCs w:val="24"/>
              </w:rPr>
              <w:t>Preparation</w:t>
            </w:r>
          </w:p>
        </w:tc>
      </w:tr>
      <w:tr>
        <w:tc>
          <w:tcPr>
            <w:tcW w:w="2564" w:type="dxa"/>
          </w:tcPr>
          <w:p>
            <w:pPr>
              <w:rPr>
                <w:rFonts w:ascii="Tahoma" w:hAnsi="Tahoma" w:cs="Tahoma"/>
                <w:sz w:val="24"/>
                <w:szCs w:val="24"/>
              </w:rPr>
            </w:pPr>
            <w:r>
              <w:rPr>
                <w:rFonts w:ascii="Tahoma" w:hAnsi="Tahoma" w:cs="Tahoma"/>
                <w:sz w:val="24"/>
                <w:szCs w:val="24"/>
              </w:rPr>
              <w:t>Class 4</w:t>
            </w:r>
          </w:p>
        </w:tc>
        <w:tc>
          <w:tcPr>
            <w:tcW w:w="2564" w:type="dxa"/>
          </w:tcPr>
          <w:p>
            <w:pPr>
              <w:jc w:val="center"/>
              <w:rPr>
                <w:rFonts w:ascii="Tahoma" w:hAnsi="Tahoma" w:cs="Tahoma"/>
                <w:sz w:val="24"/>
                <w:szCs w:val="24"/>
              </w:rPr>
            </w:pPr>
            <w:r>
              <w:rPr>
                <w:rFonts w:ascii="Tahoma" w:hAnsi="Tahoma" w:cs="Tahoma"/>
                <w:sz w:val="24"/>
                <w:szCs w:val="24"/>
              </w:rPr>
              <w:t>Pod 1</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Pod 1</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Distance learning preparation</w:t>
            </w:r>
          </w:p>
        </w:tc>
        <w:tc>
          <w:tcPr>
            <w:tcW w:w="2565" w:type="dxa"/>
          </w:tcPr>
          <w:p>
            <w:pPr>
              <w:jc w:val="center"/>
              <w:rPr>
                <w:rFonts w:ascii="Tahoma" w:hAnsi="Tahoma" w:cs="Tahoma"/>
                <w:sz w:val="24"/>
                <w:szCs w:val="24"/>
              </w:rPr>
            </w:pPr>
            <w:r>
              <w:rPr>
                <w:rFonts w:ascii="Tahoma" w:hAnsi="Tahoma" w:cs="Tahoma"/>
                <w:sz w:val="24"/>
                <w:szCs w:val="24"/>
              </w:rPr>
              <w:t>Cl4 Hub group</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Cl4 Hub group</w:t>
            </w:r>
          </w:p>
          <w:p>
            <w:pPr>
              <w:jc w:val="center"/>
              <w:rPr>
                <w:rFonts w:ascii="Tahoma" w:hAnsi="Tahoma" w:cs="Tahoma"/>
                <w:sz w:val="24"/>
                <w:szCs w:val="24"/>
              </w:rPr>
            </w:pPr>
          </w:p>
        </w:tc>
      </w:tr>
      <w:tr>
        <w:tc>
          <w:tcPr>
            <w:tcW w:w="2564" w:type="dxa"/>
          </w:tcPr>
          <w:p>
            <w:pPr>
              <w:rPr>
                <w:rFonts w:ascii="Tahoma" w:hAnsi="Tahoma" w:cs="Tahoma"/>
                <w:sz w:val="24"/>
                <w:szCs w:val="24"/>
              </w:rPr>
            </w:pPr>
            <w:r>
              <w:rPr>
                <w:rFonts w:ascii="Tahoma" w:hAnsi="Tahoma" w:cs="Tahoma"/>
                <w:sz w:val="24"/>
                <w:szCs w:val="24"/>
              </w:rPr>
              <w:t>Class 5</w:t>
            </w:r>
          </w:p>
        </w:tc>
        <w:tc>
          <w:tcPr>
            <w:tcW w:w="2564" w:type="dxa"/>
          </w:tcPr>
          <w:p>
            <w:pPr>
              <w:jc w:val="center"/>
              <w:rPr>
                <w:rFonts w:ascii="Tahoma" w:hAnsi="Tahoma" w:cs="Tahoma"/>
                <w:sz w:val="24"/>
                <w:szCs w:val="24"/>
              </w:rPr>
            </w:pPr>
            <w:r>
              <w:rPr>
                <w:rFonts w:ascii="Tahoma" w:hAnsi="Tahoma" w:cs="Tahoma"/>
                <w:sz w:val="24"/>
                <w:szCs w:val="24"/>
              </w:rPr>
              <w:t xml:space="preserve">Pod 1 </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Pod 1</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Pod 2</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Pod 2</w:t>
            </w:r>
          </w:p>
          <w:p>
            <w:pPr>
              <w:jc w:val="center"/>
              <w:rPr>
                <w:rFonts w:ascii="Tahoma" w:hAnsi="Tahoma" w:cs="Tahoma"/>
                <w:sz w:val="24"/>
                <w:szCs w:val="24"/>
              </w:rPr>
            </w:pPr>
          </w:p>
        </w:tc>
        <w:tc>
          <w:tcPr>
            <w:tcW w:w="2565" w:type="dxa"/>
          </w:tcPr>
          <w:p>
            <w:pPr>
              <w:jc w:val="center"/>
              <w:rPr>
                <w:rFonts w:ascii="Tahoma" w:hAnsi="Tahoma" w:cs="Tahoma"/>
                <w:sz w:val="24"/>
                <w:szCs w:val="24"/>
              </w:rPr>
            </w:pPr>
            <w:r>
              <w:rPr>
                <w:rFonts w:ascii="Tahoma" w:hAnsi="Tahoma" w:cs="Tahoma"/>
                <w:sz w:val="24"/>
                <w:szCs w:val="24"/>
              </w:rPr>
              <w:t>Distance learning preparation</w:t>
            </w:r>
          </w:p>
        </w:tc>
      </w:tr>
      <w:tr>
        <w:tc>
          <w:tcPr>
            <w:tcW w:w="2564" w:type="dxa"/>
          </w:tcPr>
          <w:p>
            <w:pPr>
              <w:rPr>
                <w:rFonts w:ascii="Tahoma" w:hAnsi="Tahoma" w:cs="Tahoma"/>
                <w:sz w:val="24"/>
                <w:szCs w:val="24"/>
              </w:rPr>
            </w:pPr>
            <w:r>
              <w:rPr>
                <w:rFonts w:ascii="Tahoma" w:hAnsi="Tahoma" w:cs="Tahoma"/>
                <w:sz w:val="24"/>
                <w:szCs w:val="24"/>
              </w:rPr>
              <w:t>Hub</w:t>
            </w:r>
          </w:p>
        </w:tc>
        <w:tc>
          <w:tcPr>
            <w:tcW w:w="2564" w:type="dxa"/>
          </w:tcPr>
          <w:p>
            <w:pPr>
              <w:jc w:val="center"/>
            </w:pPr>
            <w:r>
              <w:rPr>
                <w:rFonts w:ascii="Tahoma" w:hAnsi="Tahoma" w:cs="Tahoma"/>
                <w:sz w:val="24"/>
                <w:szCs w:val="24"/>
              </w:rPr>
              <w:t>Hub</w:t>
            </w:r>
          </w:p>
        </w:tc>
        <w:tc>
          <w:tcPr>
            <w:tcW w:w="2565" w:type="dxa"/>
          </w:tcPr>
          <w:p>
            <w:pPr>
              <w:jc w:val="center"/>
            </w:pPr>
            <w:r>
              <w:rPr>
                <w:rFonts w:ascii="Tahoma" w:hAnsi="Tahoma" w:cs="Tahoma"/>
                <w:sz w:val="24"/>
                <w:szCs w:val="24"/>
              </w:rPr>
              <w:t>Hub</w:t>
            </w:r>
          </w:p>
        </w:tc>
        <w:tc>
          <w:tcPr>
            <w:tcW w:w="2565" w:type="dxa"/>
          </w:tcPr>
          <w:p>
            <w:pPr>
              <w:jc w:val="center"/>
            </w:pPr>
            <w:r>
              <w:rPr>
                <w:rFonts w:ascii="Tahoma" w:hAnsi="Tahoma" w:cs="Tahoma"/>
                <w:sz w:val="24"/>
                <w:szCs w:val="24"/>
              </w:rPr>
              <w:t>Hub</w:t>
            </w:r>
          </w:p>
        </w:tc>
        <w:tc>
          <w:tcPr>
            <w:tcW w:w="2565" w:type="dxa"/>
          </w:tcPr>
          <w:p>
            <w:pPr>
              <w:jc w:val="center"/>
            </w:pPr>
            <w:r>
              <w:rPr>
                <w:rFonts w:ascii="Tahoma" w:hAnsi="Tahoma" w:cs="Tahoma"/>
                <w:sz w:val="24"/>
                <w:szCs w:val="24"/>
              </w:rPr>
              <w:t>Hub</w:t>
            </w:r>
          </w:p>
        </w:tc>
        <w:tc>
          <w:tcPr>
            <w:tcW w:w="2565" w:type="dxa"/>
          </w:tcPr>
          <w:p>
            <w:pPr>
              <w:jc w:val="center"/>
            </w:pPr>
            <w:r>
              <w:rPr>
                <w:rFonts w:ascii="Tahoma" w:hAnsi="Tahoma" w:cs="Tahoma"/>
                <w:sz w:val="24"/>
                <w:szCs w:val="24"/>
              </w:rPr>
              <w:t>Hub</w:t>
            </w:r>
          </w:p>
        </w:tc>
      </w:tr>
    </w:tbl>
    <w:p>
      <w:pPr>
        <w:pStyle w:val="Default"/>
        <w:ind w:left="720"/>
        <w:rPr>
          <w:rFonts w:asciiTheme="minorHAnsi" w:hAnsiTheme="minorHAnsi" w:cstheme="minorHAnsi"/>
          <w:highlight w:val="green"/>
        </w:rPr>
      </w:pPr>
    </w:p>
    <w:p>
      <w:pPr>
        <w:pStyle w:val="Default"/>
        <w:rPr>
          <w:b/>
          <w:bCs/>
          <w:color w:val="auto"/>
        </w:rPr>
      </w:pPr>
      <w:r>
        <w:rPr>
          <w:b/>
          <w:bCs/>
          <w:color w:val="auto"/>
        </w:rPr>
        <w:t>Toilets</w:t>
      </w:r>
    </w:p>
    <w:p>
      <w:pPr>
        <w:pStyle w:val="Default"/>
        <w:rPr>
          <w:rFonts w:ascii="Arial" w:hAnsi="Arial" w:cs="Arial"/>
          <w:shd w:val="clear" w:color="auto" w:fill="FFFFFF"/>
        </w:rPr>
      </w:pPr>
      <w:r>
        <w:rPr>
          <w:rFonts w:ascii="Arial" w:hAnsi="Arial" w:cs="Arial"/>
          <w:shd w:val="clear" w:color="auto" w:fill="FFFFFF"/>
        </w:rPr>
        <w:t>Strictly one in, one out policy, monitored by staff.</w:t>
      </w:r>
    </w:p>
    <w:tbl>
      <w:tblPr>
        <w:tblStyle w:val="TableGrid"/>
        <w:tblpPr w:leftFromText="180" w:rightFromText="180" w:vertAnchor="text" w:horzAnchor="margin" w:tblpXSpec="center" w:tblpY="186"/>
        <w:tblW w:w="0" w:type="auto"/>
        <w:tblLook w:val="04A0" w:firstRow="1" w:lastRow="0" w:firstColumn="1" w:lastColumn="0" w:noHBand="0" w:noVBand="1"/>
      </w:tblPr>
      <w:tblGrid>
        <w:gridCol w:w="5376"/>
        <w:gridCol w:w="9078"/>
      </w:tblGrid>
      <w:tr>
        <w:tc>
          <w:tcPr>
            <w:tcW w:w="5376" w:type="dxa"/>
          </w:tcPr>
          <w:p>
            <w:pPr>
              <w:pStyle w:val="Default"/>
              <w:rPr>
                <w:color w:val="auto"/>
              </w:rPr>
            </w:pPr>
            <w:r>
              <w:rPr>
                <w:color w:val="auto"/>
              </w:rPr>
              <w:t>Class Bubble</w:t>
            </w:r>
          </w:p>
        </w:tc>
        <w:tc>
          <w:tcPr>
            <w:tcW w:w="9078" w:type="dxa"/>
          </w:tcPr>
          <w:p>
            <w:pPr>
              <w:pStyle w:val="Default"/>
              <w:rPr>
                <w:color w:val="auto"/>
              </w:rPr>
            </w:pPr>
            <w:r>
              <w:rPr>
                <w:color w:val="auto"/>
              </w:rPr>
              <w:t xml:space="preserve">Toilets to be used </w:t>
            </w:r>
          </w:p>
        </w:tc>
      </w:tr>
      <w:tr>
        <w:tc>
          <w:tcPr>
            <w:tcW w:w="5376" w:type="dxa"/>
          </w:tcPr>
          <w:p>
            <w:pPr>
              <w:pStyle w:val="Default"/>
              <w:rPr>
                <w:color w:val="auto"/>
              </w:rPr>
            </w:pPr>
            <w:r>
              <w:rPr>
                <w:color w:val="auto"/>
              </w:rPr>
              <w:t>LSC</w:t>
            </w:r>
          </w:p>
          <w:p>
            <w:pPr>
              <w:pStyle w:val="Default"/>
              <w:rPr>
                <w:color w:val="auto"/>
              </w:rPr>
            </w:pPr>
            <w:r>
              <w:rPr>
                <w:color w:val="auto"/>
              </w:rPr>
              <w:t>Class 1bubble (in alternate days)</w:t>
            </w:r>
          </w:p>
        </w:tc>
        <w:tc>
          <w:tcPr>
            <w:tcW w:w="9078" w:type="dxa"/>
          </w:tcPr>
          <w:p>
            <w:pPr>
              <w:pStyle w:val="Default"/>
              <w:rPr>
                <w:color w:val="auto"/>
              </w:rPr>
            </w:pPr>
            <w:r>
              <w:rPr>
                <w:color w:val="auto"/>
              </w:rPr>
              <w:t>Boys’ and girls’ toilets to be used in the lower building</w:t>
            </w:r>
          </w:p>
        </w:tc>
      </w:tr>
      <w:tr>
        <w:tc>
          <w:tcPr>
            <w:tcW w:w="5376" w:type="dxa"/>
          </w:tcPr>
          <w:p>
            <w:pPr>
              <w:pStyle w:val="Default"/>
              <w:rPr>
                <w:color w:val="auto"/>
              </w:rPr>
            </w:pPr>
            <w:r>
              <w:rPr>
                <w:color w:val="auto"/>
              </w:rPr>
              <w:t>Hub provision</w:t>
            </w:r>
          </w:p>
        </w:tc>
        <w:tc>
          <w:tcPr>
            <w:tcW w:w="9078" w:type="dxa"/>
          </w:tcPr>
          <w:p>
            <w:pPr>
              <w:pStyle w:val="Default"/>
              <w:rPr>
                <w:color w:val="auto"/>
              </w:rPr>
            </w:pPr>
            <w:r>
              <w:rPr>
                <w:color w:val="auto"/>
              </w:rPr>
              <w:t>Class 2 boys’ and girls’ toilets in the basement</w:t>
            </w:r>
          </w:p>
        </w:tc>
      </w:tr>
      <w:tr>
        <w:tc>
          <w:tcPr>
            <w:tcW w:w="5376" w:type="dxa"/>
          </w:tcPr>
          <w:p>
            <w:pPr>
              <w:pStyle w:val="Default"/>
              <w:rPr>
                <w:color w:val="auto"/>
              </w:rPr>
            </w:pPr>
            <w:r>
              <w:rPr>
                <w:color w:val="auto"/>
              </w:rPr>
              <w:t>Class 3 bubble 1 and 2 (in alternate days)</w:t>
            </w:r>
          </w:p>
        </w:tc>
        <w:tc>
          <w:tcPr>
            <w:tcW w:w="9078" w:type="dxa"/>
          </w:tcPr>
          <w:p>
            <w:pPr>
              <w:pStyle w:val="Default"/>
              <w:rPr>
                <w:color w:val="auto"/>
              </w:rPr>
            </w:pPr>
            <w:r>
              <w:rPr>
                <w:color w:val="auto"/>
              </w:rPr>
              <w:t>Boys’ and girls’ toilets main corridor – children to be accompanied to the bathroom</w:t>
            </w:r>
          </w:p>
        </w:tc>
      </w:tr>
      <w:tr>
        <w:tc>
          <w:tcPr>
            <w:tcW w:w="5376" w:type="dxa"/>
          </w:tcPr>
          <w:p>
            <w:pPr>
              <w:pStyle w:val="Default"/>
              <w:rPr>
                <w:color w:val="auto"/>
              </w:rPr>
            </w:pPr>
            <w:r>
              <w:rPr>
                <w:color w:val="auto"/>
              </w:rPr>
              <w:t xml:space="preserve">Class 4 bubble 1 and 2 and 3 (in alternate days) </w:t>
            </w:r>
          </w:p>
        </w:tc>
        <w:tc>
          <w:tcPr>
            <w:tcW w:w="9078" w:type="dxa"/>
          </w:tcPr>
          <w:p>
            <w:pPr>
              <w:pStyle w:val="Default"/>
              <w:rPr>
                <w:color w:val="auto"/>
              </w:rPr>
            </w:pPr>
            <w:r>
              <w:rPr>
                <w:color w:val="auto"/>
              </w:rPr>
              <w:t>Boys and girls’ toilets main corridor – children to be accompanied to the bathroom</w:t>
            </w:r>
          </w:p>
        </w:tc>
      </w:tr>
      <w:tr>
        <w:tc>
          <w:tcPr>
            <w:tcW w:w="5376" w:type="dxa"/>
          </w:tcPr>
          <w:p>
            <w:pPr>
              <w:pStyle w:val="Default"/>
              <w:rPr>
                <w:color w:val="auto"/>
              </w:rPr>
            </w:pPr>
            <w:r>
              <w:rPr>
                <w:color w:val="auto"/>
              </w:rPr>
              <w:t>Class 5 bubble 1 and 2 (in alternate days)</w:t>
            </w:r>
          </w:p>
        </w:tc>
        <w:tc>
          <w:tcPr>
            <w:tcW w:w="9078" w:type="dxa"/>
          </w:tcPr>
          <w:p>
            <w:pPr>
              <w:pStyle w:val="Default"/>
              <w:rPr>
                <w:color w:val="auto"/>
              </w:rPr>
            </w:pPr>
            <w:r>
              <w:rPr>
                <w:color w:val="auto"/>
              </w:rPr>
              <w:t>Disabled toilet, main corridor</w:t>
            </w:r>
          </w:p>
        </w:tc>
      </w:tr>
      <w:tr>
        <w:tc>
          <w:tcPr>
            <w:tcW w:w="5376" w:type="dxa"/>
          </w:tcPr>
          <w:p>
            <w:pPr>
              <w:pStyle w:val="Default"/>
              <w:rPr>
                <w:color w:val="auto"/>
              </w:rPr>
            </w:pPr>
            <w:r>
              <w:rPr>
                <w:color w:val="auto"/>
              </w:rPr>
              <w:t>LSC</w:t>
            </w:r>
          </w:p>
          <w:p>
            <w:pPr>
              <w:pStyle w:val="Default"/>
              <w:rPr>
                <w:color w:val="auto"/>
              </w:rPr>
            </w:pPr>
            <w:r>
              <w:rPr>
                <w:color w:val="auto"/>
              </w:rPr>
              <w:t>Class 6 bubble (in alternate days)</w:t>
            </w:r>
          </w:p>
          <w:p>
            <w:pPr>
              <w:pStyle w:val="Default"/>
              <w:rPr>
                <w:color w:val="auto"/>
              </w:rPr>
            </w:pPr>
          </w:p>
        </w:tc>
        <w:tc>
          <w:tcPr>
            <w:tcW w:w="9078" w:type="dxa"/>
          </w:tcPr>
          <w:p>
            <w:pPr>
              <w:pStyle w:val="Default"/>
              <w:rPr>
                <w:color w:val="auto"/>
              </w:rPr>
            </w:pPr>
            <w:r>
              <w:rPr>
                <w:color w:val="auto"/>
              </w:rPr>
              <w:t>Boys’ and girls’ toilets to be used in the lower building</w:t>
            </w:r>
          </w:p>
        </w:tc>
      </w:tr>
    </w:tbl>
    <w:p>
      <w:pPr>
        <w:pStyle w:val="Default"/>
        <w:rPr>
          <w:rFonts w:ascii="Arial" w:hAnsi="Arial" w:cs="Arial"/>
          <w:shd w:val="clear" w:color="auto" w:fill="FFFFFF"/>
        </w:rPr>
      </w:pPr>
    </w:p>
    <w:p>
      <w:pPr>
        <w:pStyle w:val="Default"/>
        <w:rPr>
          <w:color w:val="auto"/>
        </w:rPr>
      </w:pPr>
    </w:p>
    <w:p>
      <w:pPr>
        <w:pStyle w:val="Default"/>
        <w:rPr>
          <w:b/>
          <w:bCs/>
          <w:color w:val="auto"/>
        </w:rPr>
      </w:pPr>
    </w:p>
    <w:p>
      <w:pPr>
        <w:pStyle w:val="Default"/>
        <w:rPr>
          <w:b/>
          <w:bCs/>
          <w:color w:val="auto"/>
        </w:rPr>
      </w:pPr>
    </w:p>
    <w:p>
      <w:pPr>
        <w:pStyle w:val="Default"/>
        <w:rPr>
          <w:b/>
          <w:bCs/>
          <w:color w:val="auto"/>
        </w:rPr>
      </w:pPr>
    </w:p>
    <w:p>
      <w:pPr>
        <w:pStyle w:val="Default"/>
        <w:rPr>
          <w:b/>
          <w:bCs/>
          <w:color w:val="auto"/>
        </w:rPr>
      </w:pPr>
    </w:p>
    <w:p>
      <w:pPr>
        <w:pStyle w:val="Default"/>
        <w:rPr>
          <w:b/>
          <w:bCs/>
          <w:color w:val="auto"/>
        </w:rPr>
      </w:pPr>
    </w:p>
    <w:p>
      <w:pPr>
        <w:pStyle w:val="Default"/>
        <w:rPr>
          <w:b/>
          <w:bCs/>
          <w:color w:val="auto"/>
        </w:rPr>
      </w:pPr>
    </w:p>
    <w:p>
      <w:pPr>
        <w:pStyle w:val="Default"/>
        <w:rPr>
          <w:b/>
          <w:bCs/>
          <w:color w:val="auto"/>
        </w:rPr>
      </w:pPr>
    </w:p>
    <w:p>
      <w:pPr>
        <w:pStyle w:val="Default"/>
        <w:rPr>
          <w:b/>
          <w:bCs/>
          <w:color w:val="auto"/>
        </w:rPr>
      </w:pPr>
      <w:r>
        <w:rPr>
          <w:b/>
          <w:bCs/>
          <w:color w:val="auto"/>
        </w:rPr>
        <w:t xml:space="preserve">  </w:t>
      </w:r>
    </w:p>
    <w:p>
      <w:pPr>
        <w:pStyle w:val="Default"/>
        <w:rPr>
          <w:b/>
          <w:bCs/>
          <w:color w:val="auto"/>
        </w:rPr>
      </w:pPr>
    </w:p>
    <w:p>
      <w:pPr>
        <w:pStyle w:val="Default"/>
        <w:rPr>
          <w:b/>
          <w:bCs/>
          <w:color w:val="auto"/>
        </w:rPr>
      </w:pPr>
    </w:p>
    <w:p>
      <w:pPr>
        <w:pStyle w:val="Default"/>
        <w:rPr>
          <w:b/>
          <w:bCs/>
          <w:color w:val="auto"/>
        </w:rPr>
      </w:pPr>
    </w:p>
    <w:p>
      <w:pPr>
        <w:pStyle w:val="Default"/>
        <w:rPr>
          <w:b/>
          <w:bCs/>
          <w:color w:val="auto"/>
        </w:rPr>
      </w:pPr>
      <w:r>
        <w:rPr>
          <w:b/>
          <w:bCs/>
          <w:color w:val="auto"/>
        </w:rPr>
        <w:t>Minimising Adult Interaction</w:t>
      </w:r>
    </w:p>
    <w:p>
      <w:pPr>
        <w:pStyle w:val="Default"/>
        <w:rPr>
          <w:color w:val="auto"/>
        </w:rPr>
      </w:pPr>
      <w:r>
        <w:rPr>
          <w:b/>
          <w:bCs/>
          <w:color w:val="auto"/>
        </w:rPr>
        <w:t xml:space="preserve"> (See risk assessments) Appendix 3</w:t>
      </w:r>
    </w:p>
    <w:p>
      <w:pPr>
        <w:pStyle w:val="Default"/>
        <w:rPr>
          <w:color w:val="auto"/>
        </w:rPr>
      </w:pPr>
      <w:r>
        <w:rPr>
          <w:color w:val="auto"/>
        </w:rPr>
        <w:t xml:space="preserve">We will use alternative entrances and exits and well as staggering some starting and leaving times of various bubbles to the school to minimise interactions and promote essential adult social distancing. Parents will be discouraged from visiting the School Office. Payment of school dinner money will transfer to online payments. Where essential visits to the office have to be made, times will be made by arrangement with the School </w:t>
      </w:r>
      <w:r>
        <w:rPr>
          <w:color w:val="auto"/>
        </w:rPr>
        <w:lastRenderedPageBreak/>
        <w:t xml:space="preserve">Clerk/Headteacher. Parents will be met at the main entrance on School Road by the Clerk or Headteacher in order to exchange any required items or to meet any pupils that are late or being sent home unwell. </w:t>
      </w:r>
      <w:r>
        <w:rPr>
          <w:bCs/>
        </w:rPr>
        <w:t>If a child arrives late their parent will need to buzz the main door on School Road. The Clerk or Headteacher will then take that child to their respective bubble.</w:t>
      </w:r>
    </w:p>
    <w:p>
      <w:pPr>
        <w:pStyle w:val="Default"/>
        <w:rPr>
          <w:bCs/>
        </w:rPr>
      </w:pPr>
      <w:r>
        <w:rPr>
          <w:rFonts w:ascii="Arial" w:hAnsi="Arial" w:cs="Arial"/>
          <w:bdr w:val="none" w:sz="0" w:space="0" w:color="auto" w:frame="1"/>
        </w:rPr>
        <w:t>We politely ask parents that at the start and end of the school day, please leave the school entrances promptly. Please do not hang around chatting or letting your children play, so that we can conform with social distancing.</w:t>
      </w:r>
    </w:p>
    <w:p>
      <w:pPr>
        <w:pStyle w:val="Default"/>
        <w:rPr>
          <w:bCs/>
        </w:rPr>
      </w:pPr>
    </w:p>
    <w:p>
      <w:pPr>
        <w:pStyle w:val="Default"/>
        <w:rPr>
          <w:b/>
          <w:bCs/>
          <w:sz w:val="22"/>
          <w:szCs w:val="22"/>
        </w:rPr>
      </w:pPr>
    </w:p>
    <w:p>
      <w:pPr>
        <w:pStyle w:val="Default"/>
        <w:jc w:val="center"/>
        <w:rPr>
          <w:color w:val="FF0000"/>
        </w:rPr>
      </w:pPr>
      <w:r>
        <w:rPr>
          <w:b/>
          <w:bCs/>
        </w:rPr>
        <w:t xml:space="preserve">Simple Guidance Principles for Staff </w:t>
      </w:r>
    </w:p>
    <w:p>
      <w:pPr>
        <w:pStyle w:val="Default"/>
      </w:pPr>
    </w:p>
    <w:p>
      <w:pPr>
        <w:pStyle w:val="Default"/>
        <w:numPr>
          <w:ilvl w:val="0"/>
          <w:numId w:val="5"/>
        </w:numPr>
        <w:spacing w:after="22"/>
      </w:pPr>
      <w:r>
        <w:rPr>
          <w:b/>
          <w:bCs/>
          <w:u w:val="single"/>
        </w:rPr>
        <w:t>Do not come to work if you have coronavirus symptoms</w:t>
      </w:r>
      <w:r>
        <w:rPr>
          <w:b/>
          <w:bCs/>
        </w:rPr>
        <w:t xml:space="preserve"> </w:t>
      </w:r>
      <w:r>
        <w:t xml:space="preserve">or go home as soon as these develop (informing your line-manager) and access a test as soon as possible. If you are unwell and able to do this, we can assist. If you are very unwell seek medical support as soon as possible through NHS 111. </w:t>
      </w:r>
    </w:p>
    <w:p>
      <w:pPr>
        <w:pStyle w:val="Default"/>
        <w:spacing w:after="22"/>
        <w:ind w:left="720"/>
      </w:pPr>
    </w:p>
    <w:p>
      <w:pPr>
        <w:pStyle w:val="Default"/>
        <w:numPr>
          <w:ilvl w:val="0"/>
          <w:numId w:val="5"/>
        </w:numPr>
        <w:spacing w:after="22"/>
      </w:pPr>
      <w:r>
        <w:rPr>
          <w:b/>
          <w:bCs/>
        </w:rPr>
        <w:t>I</w:t>
      </w:r>
      <w:r>
        <w:rPr>
          <w:b/>
          <w:bCs/>
          <w:u w:val="single"/>
        </w:rPr>
        <w:t>f somebody in your house has symptoms, you must not come to work</w:t>
      </w:r>
      <w:r>
        <w:rPr>
          <w:b/>
          <w:bCs/>
        </w:rPr>
        <w:t xml:space="preserve"> </w:t>
      </w:r>
      <w:r>
        <w:t xml:space="preserve">and arrange to have tests. </w:t>
      </w:r>
    </w:p>
    <w:p>
      <w:pPr>
        <w:pStyle w:val="Default"/>
        <w:spacing w:after="22"/>
      </w:pPr>
    </w:p>
    <w:p>
      <w:pPr>
        <w:pStyle w:val="Default"/>
        <w:spacing w:after="22"/>
      </w:pPr>
    </w:p>
    <w:p>
      <w:pPr>
        <w:pStyle w:val="Default"/>
        <w:numPr>
          <w:ilvl w:val="0"/>
          <w:numId w:val="5"/>
        </w:numPr>
        <w:spacing w:after="22"/>
      </w:pPr>
      <w:r>
        <w:rPr>
          <w:b/>
          <w:bCs/>
          <w:u w:val="single"/>
        </w:rPr>
        <w:t>Make your well-being a priority</w:t>
      </w:r>
      <w:r>
        <w:t xml:space="preserve">. We are here to support and guide.  SMT will signpost you to support organisations both at LA level and wider. </w:t>
      </w:r>
      <w:r>
        <w:rPr>
          <w:bCs/>
        </w:rPr>
        <w:t>Ask any question</w:t>
      </w:r>
      <w:r>
        <w:t xml:space="preserve">. </w:t>
      </w:r>
      <w:r>
        <w:t xml:space="preserve"> Assured staff will make calm and informed choices. </w:t>
      </w:r>
    </w:p>
    <w:p>
      <w:pPr>
        <w:pStyle w:val="Default"/>
        <w:spacing w:after="22"/>
      </w:pPr>
    </w:p>
    <w:p>
      <w:pPr>
        <w:pStyle w:val="Default"/>
        <w:numPr>
          <w:ilvl w:val="0"/>
          <w:numId w:val="5"/>
        </w:numPr>
        <w:spacing w:after="22"/>
      </w:pPr>
      <w:r>
        <w:rPr>
          <w:b/>
          <w:bCs/>
          <w:u w:val="single"/>
        </w:rPr>
        <w:t>Practise really good hygiene</w:t>
      </w:r>
      <w:r>
        <w:t xml:space="preserve">. Each class will have a class pack of tissues, alcohol hand gel (minimum 60% alcohol), antibacterial hand wash and antibacterial wipes. Please inform SMT if any items in your class pack begin to run low. </w:t>
      </w:r>
    </w:p>
    <w:p>
      <w:pPr>
        <w:pStyle w:val="Default"/>
        <w:numPr>
          <w:ilvl w:val="0"/>
          <w:numId w:val="2"/>
        </w:numPr>
        <w:spacing w:after="22"/>
      </w:pPr>
      <w:r>
        <w:t xml:space="preserve">Clean your hands and wrists more often than usual – with running water and soap and dry them thoroughly or use alcohol hand rub or sanitiser ensuring that all parts of the hands are covered. Must use sanitiser or wash your hands on entry to the building and when you leave. </w:t>
      </w:r>
    </w:p>
    <w:p>
      <w:pPr>
        <w:pStyle w:val="Default"/>
        <w:numPr>
          <w:ilvl w:val="0"/>
          <w:numId w:val="2"/>
        </w:numPr>
        <w:spacing w:after="22"/>
      </w:pPr>
      <w:r>
        <w:t xml:space="preserve">Use the ‘catch it, bin it, kill it’ approach. </w:t>
      </w:r>
    </w:p>
    <w:p>
      <w:pPr>
        <w:pStyle w:val="Default"/>
        <w:numPr>
          <w:ilvl w:val="0"/>
          <w:numId w:val="2"/>
        </w:numPr>
        <w:spacing w:after="22"/>
      </w:pPr>
      <w:r>
        <w:t xml:space="preserve">Avoid touching your mouth, nose and eyes. </w:t>
      </w:r>
    </w:p>
    <w:p>
      <w:pPr>
        <w:pStyle w:val="Default"/>
        <w:numPr>
          <w:ilvl w:val="0"/>
          <w:numId w:val="2"/>
        </w:numPr>
        <w:spacing w:after="22"/>
      </w:pPr>
      <w:r>
        <w:t xml:space="preserve">Clean frequently touched surfaces often using standard products. </w:t>
      </w:r>
    </w:p>
    <w:p>
      <w:pPr>
        <w:pStyle w:val="Default"/>
        <w:spacing w:after="22"/>
        <w:ind w:left="360"/>
      </w:pPr>
    </w:p>
    <w:p>
      <w:pPr>
        <w:pStyle w:val="Default"/>
        <w:numPr>
          <w:ilvl w:val="0"/>
          <w:numId w:val="5"/>
        </w:numPr>
        <w:spacing w:after="22"/>
      </w:pPr>
      <w:r>
        <w:rPr>
          <w:b/>
          <w:bCs/>
          <w:bdr w:val="none" w:sz="0" w:space="0" w:color="auto" w:frame="1"/>
        </w:rPr>
        <w:t>Limited staffroom use</w:t>
      </w:r>
      <w:r>
        <w:rPr>
          <w:bdr w:val="none" w:sz="0" w:space="0" w:color="auto" w:frame="1"/>
        </w:rPr>
        <w:t xml:space="preserve"> –maximum of 3 staff in at one time in upper building. Sit on marked seats only–Boiler / fridge can be used but each individual cleans after each use. Lower building staff room – only 1 staff member in at a time. </w:t>
      </w:r>
    </w:p>
    <w:p>
      <w:pPr>
        <w:pStyle w:val="Default"/>
        <w:spacing w:after="22"/>
        <w:ind w:left="720"/>
      </w:pPr>
    </w:p>
    <w:p>
      <w:pPr>
        <w:pStyle w:val="Default"/>
        <w:numPr>
          <w:ilvl w:val="0"/>
          <w:numId w:val="5"/>
        </w:numPr>
        <w:spacing w:after="22"/>
      </w:pPr>
      <w:r>
        <w:rPr>
          <w:b/>
          <w:bCs/>
          <w:u w:val="single"/>
          <w:bdr w:val="none" w:sz="0" w:space="0" w:color="auto" w:frame="1"/>
        </w:rPr>
        <w:t xml:space="preserve">Staff toilets: </w:t>
      </w:r>
      <w:r>
        <w:rPr>
          <w:bdr w:val="none" w:sz="0" w:space="0" w:color="auto" w:frame="1"/>
        </w:rPr>
        <w:t>- touch points cleaned after use.</w:t>
      </w:r>
    </w:p>
    <w:p>
      <w:pPr>
        <w:pStyle w:val="Default"/>
        <w:spacing w:after="22"/>
        <w:rPr>
          <w:rFonts w:asciiTheme="minorHAnsi" w:hAnsiTheme="minorHAnsi" w:cstheme="minorHAnsi"/>
          <w:sz w:val="22"/>
          <w:szCs w:val="22"/>
        </w:rPr>
      </w:pPr>
    </w:p>
    <w:p>
      <w:pPr>
        <w:pStyle w:val="Default"/>
        <w:numPr>
          <w:ilvl w:val="0"/>
          <w:numId w:val="5"/>
        </w:numPr>
        <w:spacing w:after="22"/>
      </w:pPr>
      <w:r>
        <w:rPr>
          <w:b/>
          <w:bCs/>
          <w:u w:val="single"/>
        </w:rPr>
        <w:t>Think about ways to modify your teaching approach</w:t>
      </w:r>
      <w:r>
        <w:rPr>
          <w:b/>
          <w:bCs/>
        </w:rPr>
        <w:t xml:space="preserve"> </w:t>
      </w:r>
      <w:r>
        <w:t xml:space="preserve">to keep a distance from children in your class as much as possible. Avoid close face to face support (noting that it’s understood that this is not possible at all times, which is why hygiene and hand cleaning is so important). Staff should try and maintain a standing distance and communicate from ‘side on’ position when possible. </w:t>
      </w:r>
    </w:p>
    <w:p>
      <w:pPr>
        <w:pStyle w:val="Default"/>
        <w:spacing w:after="22"/>
        <w:ind w:left="720"/>
      </w:pPr>
    </w:p>
    <w:p>
      <w:pPr>
        <w:pStyle w:val="Default"/>
        <w:numPr>
          <w:ilvl w:val="0"/>
          <w:numId w:val="5"/>
        </w:numPr>
        <w:spacing w:after="22"/>
      </w:pPr>
      <w:r>
        <w:t xml:space="preserve">Children are not in quarantine but you may benefit from having </w:t>
      </w:r>
      <w:r>
        <w:rPr>
          <w:b/>
          <w:bCs/>
          <w:u w:val="single"/>
        </w:rPr>
        <w:t>your own zone in a classroom</w:t>
      </w:r>
      <w:r>
        <w:rPr>
          <w:b/>
          <w:bCs/>
        </w:rPr>
        <w:t xml:space="preserve"> </w:t>
      </w:r>
      <w:r>
        <w:t xml:space="preserve">so you control your contact. You would ask children not to enter this. We can mark out an area with tape that could be a few square meters. </w:t>
      </w:r>
    </w:p>
    <w:p>
      <w:pPr>
        <w:pStyle w:val="Default"/>
        <w:spacing w:after="22"/>
      </w:pPr>
    </w:p>
    <w:p>
      <w:pPr>
        <w:pStyle w:val="Default"/>
        <w:numPr>
          <w:ilvl w:val="0"/>
          <w:numId w:val="5"/>
        </w:numPr>
        <w:spacing w:after="22"/>
      </w:pPr>
      <w:r>
        <w:rPr>
          <w:b/>
          <w:bCs/>
          <w:u w:val="single"/>
        </w:rPr>
        <w:t>Ensure that cleanliness and hygiene is excellent in your pod</w:t>
      </w:r>
      <w:r>
        <w:t xml:space="preserve">. Ensure that our children practise good hygiene regimes. </w:t>
      </w:r>
    </w:p>
    <w:p>
      <w:pPr>
        <w:pStyle w:val="Default"/>
        <w:spacing w:after="22"/>
      </w:pPr>
    </w:p>
    <w:p>
      <w:pPr>
        <w:pStyle w:val="Default"/>
        <w:numPr>
          <w:ilvl w:val="0"/>
          <w:numId w:val="5"/>
        </w:numPr>
        <w:spacing w:after="22"/>
      </w:pPr>
      <w:r>
        <w:rPr>
          <w:b/>
          <w:bCs/>
          <w:u w:val="single"/>
        </w:rPr>
        <w:t>Try and maximise ventilation</w:t>
      </w:r>
      <w:r>
        <w:t xml:space="preserve">. Keep your classroom door and windows open if possible, for air flow. </w:t>
      </w:r>
    </w:p>
    <w:p>
      <w:pPr>
        <w:pStyle w:val="Default"/>
        <w:spacing w:after="22"/>
      </w:pPr>
    </w:p>
    <w:p>
      <w:pPr>
        <w:pStyle w:val="Default"/>
        <w:numPr>
          <w:ilvl w:val="0"/>
          <w:numId w:val="5"/>
        </w:numPr>
        <w:spacing w:after="22"/>
      </w:pPr>
      <w:r>
        <w:rPr>
          <w:b/>
          <w:bCs/>
          <w:u w:val="single"/>
        </w:rPr>
        <w:t>Teach outdoors when you can</w:t>
      </w:r>
      <w:r>
        <w:rPr>
          <w:b/>
          <w:bCs/>
        </w:rPr>
        <w:t xml:space="preserve"> </w:t>
      </w:r>
      <w:r>
        <w:t xml:space="preserve">and maintain social distancing in these spaces. </w:t>
      </w:r>
    </w:p>
    <w:p>
      <w:pPr>
        <w:pStyle w:val="Default"/>
        <w:spacing w:after="22"/>
      </w:pPr>
    </w:p>
    <w:p>
      <w:pPr>
        <w:pStyle w:val="Default"/>
        <w:numPr>
          <w:ilvl w:val="0"/>
          <w:numId w:val="5"/>
        </w:numPr>
        <w:spacing w:after="22"/>
      </w:pPr>
      <w:r>
        <w:rPr>
          <w:b/>
          <w:bCs/>
          <w:u w:val="single"/>
        </w:rPr>
        <w:t>Model social distancing</w:t>
      </w:r>
      <w:r>
        <w:t xml:space="preserve">. Staff must demonstrate this. Limit your contact with other staff members, and don’t congregate in shared spaces, especially if they are small rooms. </w:t>
      </w:r>
    </w:p>
    <w:p>
      <w:pPr>
        <w:pStyle w:val="Default"/>
        <w:spacing w:after="22"/>
      </w:pPr>
    </w:p>
    <w:p>
      <w:pPr>
        <w:pStyle w:val="Default"/>
        <w:numPr>
          <w:ilvl w:val="0"/>
          <w:numId w:val="5"/>
        </w:numPr>
        <w:spacing w:after="22"/>
      </w:pPr>
      <w:r>
        <w:rPr>
          <w:b/>
          <w:bCs/>
          <w:color w:val="auto"/>
          <w:u w:val="single"/>
        </w:rPr>
        <w:t>PPE</w:t>
      </w:r>
      <w:r>
        <w:rPr>
          <w:color w:val="auto"/>
          <w:u w:val="single"/>
        </w:rPr>
        <w:t xml:space="preserve">. </w:t>
      </w:r>
      <w:r>
        <w:rPr>
          <w:color w:val="auto"/>
        </w:rPr>
        <w:t xml:space="preserve">Staff carrying out first aid will have access to disposable gloves and aprons. Staff needing to carry out tasks related to intimate care with a child who may cough, splutter or spit will also have access to moisture resistant mask, goggles/face shield. These will be placed in nappy changing rooms and next to first aid boxes.  </w:t>
      </w:r>
    </w:p>
    <w:p>
      <w:pPr>
        <w:pStyle w:val="ListParagraph"/>
      </w:pPr>
    </w:p>
    <w:p>
      <w:pPr>
        <w:pStyle w:val="Default"/>
        <w:numPr>
          <w:ilvl w:val="0"/>
          <w:numId w:val="5"/>
        </w:numPr>
        <w:spacing w:after="22"/>
      </w:pPr>
      <w:r>
        <w:rPr>
          <w:b/>
          <w:bCs/>
          <w:u w:val="single"/>
          <w:bdr w:val="none" w:sz="0" w:space="0" w:color="auto" w:frame="1"/>
        </w:rPr>
        <w:t>Fire Assembly point</w:t>
      </w:r>
      <w:r>
        <w:rPr>
          <w:bdr w:val="none" w:sz="0" w:space="0" w:color="auto" w:frame="1"/>
        </w:rPr>
        <w:t xml:space="preserve"> is unchanged but when lining up on yard –distance lines rather than close together.</w:t>
      </w:r>
    </w:p>
    <w:p>
      <w:pPr>
        <w:pStyle w:val="ListParagraph"/>
      </w:pPr>
    </w:p>
    <w:p>
      <w:pPr>
        <w:pStyle w:val="Default"/>
        <w:numPr>
          <w:ilvl w:val="0"/>
          <w:numId w:val="5"/>
        </w:numPr>
        <w:spacing w:after="22"/>
      </w:pPr>
      <w:r>
        <w:rPr>
          <w:b/>
          <w:bCs/>
          <w:u w:val="single"/>
          <w:bdr w:val="none" w:sz="0" w:space="0" w:color="auto" w:frame="1"/>
        </w:rPr>
        <w:t>Photocopier</w:t>
      </w:r>
      <w:r>
        <w:rPr>
          <w:bdr w:val="none" w:sz="0" w:space="0" w:color="auto" w:frame="1"/>
        </w:rPr>
        <w:t xml:space="preserve"> will be cleaned after every use –staff responsibility. (Antibacterial wipes)</w:t>
      </w:r>
    </w:p>
    <w:p>
      <w:pPr>
        <w:pStyle w:val="ListParagraph"/>
      </w:pPr>
    </w:p>
    <w:p>
      <w:pPr>
        <w:pStyle w:val="Default"/>
        <w:spacing w:after="22"/>
      </w:pPr>
      <w:r>
        <w:rPr>
          <w:b/>
          <w:bCs/>
        </w:rPr>
        <w:t xml:space="preserve">     18. </w:t>
      </w:r>
      <w:r>
        <w:rPr>
          <w:b/>
          <w:bCs/>
          <w:u w:val="single"/>
        </w:rPr>
        <w:t>Clothing:</w:t>
      </w:r>
      <w:r>
        <w:t xml:space="preserve"> </w:t>
      </w:r>
      <w:r>
        <w:rPr>
          <w:bdr w:val="none" w:sz="0" w:space="0" w:color="auto" w:frame="1"/>
        </w:rPr>
        <w:t>smart / casual dress code, fabrics which are easily cleaned / washed and that</w:t>
      </w:r>
      <w:r>
        <w:t xml:space="preserve"> are comfortable may be worn by staff. </w:t>
      </w:r>
    </w:p>
    <w:p>
      <w:pPr>
        <w:pStyle w:val="ListParagraph"/>
        <w:rPr>
          <w:sz w:val="16"/>
          <w:szCs w:val="16"/>
        </w:rPr>
      </w:pPr>
    </w:p>
    <w:p>
      <w:pPr>
        <w:jc w:val="center"/>
        <w:rPr>
          <w:rFonts w:ascii="Tahoma" w:hAnsi="Tahoma" w:cs="Tahoma"/>
        </w:rPr>
      </w:pPr>
      <w:r>
        <w:rPr>
          <w:rFonts w:ascii="Tahoma" w:hAnsi="Tahoma" w:cs="Tahoma"/>
        </w:rPr>
        <w:t>Signed:  Katrina Winston (Headteacher) 24.06.2020</w:t>
      </w:r>
      <w:r>
        <w:rPr>
          <w:rFonts w:ascii="Tahoma" w:hAnsi="Tahoma" w:cs="Tahoma"/>
        </w:rPr>
        <w:tab/>
      </w:r>
      <w:r>
        <w:rPr>
          <w:rFonts w:ascii="Tahoma" w:hAnsi="Tahoma" w:cs="Tahoma"/>
        </w:rPr>
        <w:tab/>
      </w:r>
      <w:r>
        <w:rPr>
          <w:rFonts w:ascii="Tahoma" w:hAnsi="Tahoma" w:cs="Tahoma"/>
        </w:rPr>
        <w:tab/>
        <w:t>Melanie Davies (Chair of Governors) 24.06.2020</w:t>
      </w:r>
      <w:r>
        <w:rPr>
          <w:rFonts w:ascii="Arial" w:hAnsi="Arial"/>
          <w:b/>
          <w:noProof/>
          <w:lang w:eastAsia="en-GB"/>
        </w:rPr>
        <w:drawing>
          <wp:anchor distT="0" distB="0" distL="114300" distR="114300" simplePos="0" relativeHeight="251659264" behindDoc="1" locked="0" layoutInCell="1" allowOverlap="1">
            <wp:simplePos x="0" y="0"/>
            <wp:positionH relativeFrom="column">
              <wp:posOffset>1650365</wp:posOffset>
            </wp:positionH>
            <wp:positionV relativeFrom="paragraph">
              <wp:posOffset>5715</wp:posOffset>
            </wp:positionV>
            <wp:extent cx="1990725" cy="332828"/>
            <wp:effectExtent l="0" t="0" r="0" b="0"/>
            <wp:wrapNone/>
            <wp:docPr id="7" name="Picture 7" descr="M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rs"/>
                    <pic:cNvPicPr>
                      <a:picLocks noChangeAspect="1" noChangeArrowheads="1"/>
                    </pic:cNvPicPr>
                  </pic:nvPicPr>
                  <pic:blipFill>
                    <a:blip r:embed="rId14" cstate="print">
                      <a:extLst>
                        <a:ext uri="{28A0092B-C50C-407E-A947-70E740481C1C}">
                          <a14:useLocalDpi xmlns:a14="http://schemas.microsoft.com/office/drawing/2010/main" val="0"/>
                        </a:ext>
                      </a:extLst>
                    </a:blip>
                    <a:srcRect t="23169" b="42441"/>
                    <a:stretch>
                      <a:fillRect/>
                    </a:stretch>
                  </pic:blipFill>
                  <pic:spPr bwMode="auto">
                    <a:xfrm>
                      <a:off x="0" y="0"/>
                      <a:ext cx="1990725" cy="33282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bookmarkStart w:id="0" w:name="_GoBack"/>
      <w:bookmarkEnd w:id="0"/>
      <w:r>
        <w:rPr>
          <w:rFonts w:ascii="Tahoma" w:hAnsi="Tahoma" w:cs="Tahoma"/>
        </w:rPr>
        <w:tab/>
      </w:r>
      <w:r>
        <w:rPr>
          <w:rFonts w:ascii="Tahoma" w:hAnsi="Tahoma" w:cs="Tahoma"/>
        </w:rPr>
        <w:tab/>
      </w:r>
      <w:r>
        <w:rPr>
          <w:noProof/>
          <w:lang w:eastAsia="en-GB"/>
        </w:rPr>
        <w:drawing>
          <wp:inline distT="0" distB="0" distL="0" distR="0">
            <wp:extent cx="1276350" cy="40899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237" t="44748" r="36683" b="42835"/>
                    <a:stretch/>
                  </pic:blipFill>
                  <pic:spPr bwMode="auto">
                    <a:xfrm>
                      <a:off x="0" y="0"/>
                      <a:ext cx="1276350" cy="408996"/>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5181"/>
      </w:tblGrid>
      <w:tr>
        <w:trPr>
          <w:trHeight w:val="107"/>
        </w:trPr>
        <w:tc>
          <w:tcPr>
            <w:tcW w:w="15181" w:type="dxa"/>
          </w:tcPr>
          <w:p>
            <w:pPr>
              <w:pStyle w:val="Default"/>
              <w:rPr>
                <w:sz w:val="22"/>
                <w:szCs w:val="22"/>
                <w:highlight w:val="green"/>
              </w:rPr>
            </w:pPr>
          </w:p>
        </w:tc>
      </w:tr>
    </w:tbl>
    <w:p>
      <w:pPr>
        <w:jc w:val="center"/>
        <w:rPr>
          <w:rFonts w:ascii="Tahoma" w:hAnsi="Tahoma" w:cs="Tahoma"/>
          <w:sz w:val="24"/>
          <w:szCs w:val="24"/>
          <w:u w:val="single"/>
        </w:rPr>
      </w:pPr>
    </w:p>
    <w:p>
      <w:pPr>
        <w:jc w:val="center"/>
        <w:rPr>
          <w:rFonts w:ascii="Tahoma" w:hAnsi="Tahoma" w:cs="Tahoma"/>
          <w:sz w:val="24"/>
          <w:szCs w:val="24"/>
          <w:u w:val="single"/>
        </w:rPr>
      </w:pPr>
      <w:r>
        <w:rPr>
          <w:rFonts w:ascii="Tahoma" w:hAnsi="Tahoma" w:cs="Tahoma"/>
          <w:sz w:val="24"/>
          <w:szCs w:val="24"/>
          <w:u w:val="single"/>
        </w:rPr>
        <w:t>Appendix 1</w:t>
      </w:r>
    </w:p>
    <w:p>
      <w:pPr>
        <w:jc w:val="center"/>
        <w:rPr>
          <w:rFonts w:ascii="Arial" w:hAnsi="Arial" w:cs="Arial"/>
          <w:color w:val="1F1F1F"/>
          <w:lang w:val="en"/>
        </w:rPr>
      </w:pPr>
      <w:r>
        <w:rPr>
          <w:rFonts w:ascii="Arial" w:hAnsi="Arial" w:cs="Arial"/>
          <w:color w:val="1F1F1F"/>
          <w:lang w:val="en"/>
        </w:rPr>
        <w:t>Keep Education Safe: Operational guidance for schools and settings (COVID-19)</w:t>
      </w:r>
    </w:p>
    <w:p>
      <w:pPr>
        <w:jc w:val="center"/>
        <w:rPr>
          <w:rStyle w:val="Hyperlink"/>
        </w:rPr>
      </w:pPr>
      <w:hyperlink r:id="rId16" w:history="1">
        <w:r>
          <w:rPr>
            <w:rStyle w:val="Hyperlink"/>
          </w:rPr>
          <w:t>https://gov.wales/keep-education-safe-operational-guidance-schools-and-settings-covid-19</w:t>
        </w:r>
      </w:hyperlink>
    </w:p>
    <w:p>
      <w:pPr>
        <w:rPr>
          <w:rStyle w:val="Hyperlink"/>
        </w:rPr>
      </w:pPr>
    </w:p>
    <w:p>
      <w:pPr>
        <w:rPr>
          <w:rStyle w:val="Hyperlink"/>
        </w:rPr>
      </w:pPr>
    </w:p>
    <w:p>
      <w:pPr>
        <w:jc w:val="center"/>
        <w:rPr>
          <w:rStyle w:val="Hyperlink"/>
          <w:rFonts w:ascii="Tahoma" w:hAnsi="Tahoma" w:cs="Tahoma"/>
          <w:color w:val="auto"/>
          <w:sz w:val="24"/>
          <w:szCs w:val="24"/>
        </w:rPr>
      </w:pPr>
      <w:r>
        <w:rPr>
          <w:rStyle w:val="Hyperlink"/>
          <w:rFonts w:ascii="Tahoma" w:hAnsi="Tahoma" w:cs="Tahoma"/>
          <w:color w:val="auto"/>
          <w:sz w:val="24"/>
          <w:szCs w:val="24"/>
        </w:rPr>
        <w:t>Appendix 2</w:t>
      </w:r>
    </w:p>
    <w:p>
      <w:pPr>
        <w:jc w:val="center"/>
        <w:rPr>
          <w:rFonts w:ascii="Tahoma" w:hAnsi="Tahoma" w:cs="Tahoma"/>
          <w:sz w:val="24"/>
          <w:szCs w:val="24"/>
        </w:rPr>
      </w:pPr>
      <w:r>
        <w:rPr>
          <w:rStyle w:val="Hyperlink"/>
          <w:rFonts w:ascii="Tahoma" w:hAnsi="Tahoma" w:cs="Tahoma"/>
          <w:color w:val="auto"/>
          <w:sz w:val="24"/>
          <w:szCs w:val="24"/>
          <w:u w:val="none"/>
        </w:rPr>
        <w:t>Check in, Catch Up Guidance from Neath Port Talbot LA</w:t>
      </w:r>
    </w:p>
    <w:p>
      <w:pPr>
        <w:jc w:val="center"/>
        <w:rPr>
          <w:rFonts w:ascii="Georgia" w:hAnsi="Georgia"/>
          <w:color w:val="333333"/>
        </w:rPr>
      </w:pPr>
      <w:hyperlink r:id="rId17" w:history="1">
        <w:r>
          <w:rPr>
            <w:rStyle w:val="Hyperlink"/>
            <w:rFonts w:ascii="Georgia" w:hAnsi="Georgia"/>
          </w:rPr>
          <w:t>CICU NPT Gu</w:t>
        </w:r>
        <w:r>
          <w:rPr>
            <w:rStyle w:val="Hyperlink"/>
            <w:rFonts w:ascii="Georgia" w:hAnsi="Georgia"/>
          </w:rPr>
          <w:t>i</w:t>
        </w:r>
        <w:r>
          <w:rPr>
            <w:rStyle w:val="Hyperlink"/>
            <w:rFonts w:ascii="Georgia" w:hAnsi="Georgia"/>
          </w:rPr>
          <w:t>dance updated</w:t>
        </w:r>
      </w:hyperlink>
    </w:p>
    <w:p>
      <w:pPr>
        <w:jc w:val="center"/>
        <w:rPr>
          <w:rFonts w:ascii="Tahoma" w:hAnsi="Tahoma" w:cs="Tahoma"/>
          <w:color w:val="333333"/>
          <w:sz w:val="24"/>
          <w:szCs w:val="24"/>
          <w:u w:val="single"/>
        </w:rPr>
      </w:pPr>
    </w:p>
    <w:p>
      <w:pPr>
        <w:jc w:val="center"/>
        <w:rPr>
          <w:rFonts w:ascii="Tahoma" w:hAnsi="Tahoma" w:cs="Tahoma"/>
          <w:color w:val="333333"/>
          <w:sz w:val="24"/>
          <w:szCs w:val="24"/>
          <w:u w:val="single"/>
        </w:rPr>
      </w:pPr>
    </w:p>
    <w:p>
      <w:pPr>
        <w:jc w:val="center"/>
        <w:rPr>
          <w:rFonts w:ascii="Tahoma" w:hAnsi="Tahoma" w:cs="Tahoma"/>
          <w:color w:val="333333"/>
          <w:sz w:val="24"/>
          <w:szCs w:val="24"/>
          <w:u w:val="single"/>
        </w:rPr>
      </w:pPr>
      <w:r>
        <w:rPr>
          <w:rFonts w:ascii="Tahoma" w:hAnsi="Tahoma" w:cs="Tahoma"/>
          <w:color w:val="333333"/>
          <w:sz w:val="24"/>
          <w:szCs w:val="24"/>
          <w:u w:val="single"/>
        </w:rPr>
        <w:t>Appendix 3</w:t>
      </w:r>
    </w:p>
    <w:p>
      <w:pPr>
        <w:jc w:val="center"/>
        <w:rPr>
          <w:rFonts w:ascii="Tahoma" w:hAnsi="Tahoma" w:cs="Tahoma"/>
          <w:color w:val="333333"/>
          <w:sz w:val="24"/>
          <w:szCs w:val="24"/>
        </w:rPr>
      </w:pPr>
      <w:r>
        <w:rPr>
          <w:rFonts w:ascii="Tahoma" w:hAnsi="Tahoma" w:cs="Tahoma"/>
          <w:color w:val="333333"/>
          <w:sz w:val="24"/>
          <w:szCs w:val="24"/>
        </w:rPr>
        <w:t>Risk assessment document</w:t>
      </w:r>
    </w:p>
    <w:p>
      <w:pPr>
        <w:jc w:val="center"/>
        <w:rPr>
          <w:rFonts w:ascii="Tahoma" w:hAnsi="Tahoma" w:cs="Tahoma"/>
          <w:color w:val="333333"/>
          <w:sz w:val="24"/>
          <w:szCs w:val="24"/>
        </w:rPr>
      </w:pPr>
      <w:hyperlink r:id="rId18" w:history="1">
        <w:r>
          <w:rPr>
            <w:rStyle w:val="Hyperlink"/>
            <w:rFonts w:ascii="Georgia" w:hAnsi="Georgia"/>
          </w:rPr>
          <w:t>Risk assessment for schools returning COVID-23 06 2020</w:t>
        </w:r>
      </w:hyperlink>
    </w:p>
    <w:p>
      <w:pPr>
        <w:jc w:val="center"/>
        <w:rPr>
          <w:rFonts w:ascii="Tahoma" w:hAnsi="Tahoma" w:cs="Tahoma"/>
          <w:color w:val="333333"/>
          <w:sz w:val="24"/>
          <w:szCs w:val="24"/>
          <w:u w:val="single"/>
        </w:rPr>
      </w:pPr>
    </w:p>
    <w:p>
      <w:pPr>
        <w:jc w:val="center"/>
        <w:rPr>
          <w:rFonts w:ascii="Tahoma" w:hAnsi="Tahoma" w:cs="Tahoma"/>
          <w:color w:val="333333"/>
          <w:sz w:val="24"/>
          <w:szCs w:val="24"/>
          <w:u w:val="single"/>
        </w:rPr>
      </w:pPr>
    </w:p>
    <w:p>
      <w:pPr>
        <w:jc w:val="center"/>
        <w:rPr>
          <w:rFonts w:ascii="Tahoma" w:hAnsi="Tahoma" w:cs="Tahoma"/>
          <w:color w:val="333333"/>
          <w:sz w:val="24"/>
          <w:szCs w:val="24"/>
          <w:u w:val="single"/>
        </w:rPr>
      </w:pPr>
      <w:r>
        <w:rPr>
          <w:rFonts w:ascii="Tahoma" w:hAnsi="Tahoma" w:cs="Tahoma"/>
          <w:color w:val="333333"/>
          <w:sz w:val="24"/>
          <w:szCs w:val="24"/>
          <w:u w:val="single"/>
        </w:rPr>
        <w:t>Appendix 4</w:t>
      </w:r>
    </w:p>
    <w:p>
      <w:pPr>
        <w:jc w:val="center"/>
        <w:rPr>
          <w:rFonts w:ascii="Tahoma" w:hAnsi="Tahoma" w:cs="Tahoma"/>
          <w:color w:val="333333"/>
          <w:sz w:val="24"/>
          <w:szCs w:val="24"/>
        </w:rPr>
      </w:pPr>
      <w:r>
        <w:rPr>
          <w:rFonts w:ascii="Tahoma" w:hAnsi="Tahoma" w:cs="Tahoma"/>
          <w:color w:val="333333"/>
          <w:sz w:val="24"/>
          <w:szCs w:val="24"/>
        </w:rPr>
        <w:t>CAD plan showing entry and egress points for pupils.</w:t>
      </w:r>
    </w:p>
    <w:p>
      <w:pPr>
        <w:jc w:val="center"/>
        <w:rPr>
          <w:rFonts w:ascii="Georgia" w:hAnsi="Georgia"/>
          <w:color w:val="333333"/>
        </w:rPr>
      </w:pPr>
      <w:hyperlink r:id="rId19" w:history="1">
        <w:r>
          <w:rPr>
            <w:rStyle w:val="Hyperlink"/>
            <w:rFonts w:ascii="Georgia" w:hAnsi="Georgia"/>
          </w:rPr>
          <w:t>Maesmarchog Primary Main Block (002) CAD plan showing entrances</w:t>
        </w:r>
      </w:hyperlink>
    </w:p>
    <w:p>
      <w:pPr>
        <w:jc w:val="center"/>
        <w:rPr>
          <w:rFonts w:cstheme="minorHAnsi"/>
          <w:b/>
          <w:bCs/>
          <w:sz w:val="24"/>
          <w:szCs w:val="24"/>
        </w:rPr>
      </w:pPr>
      <w:hyperlink r:id="rId20" w:history="1">
        <w:r>
          <w:rPr>
            <w:rFonts w:ascii="Georgia" w:hAnsi="Georgia"/>
            <w:color w:val="0000FF"/>
            <w:u w:val="single"/>
          </w:rPr>
          <w:t>Maesmarchog Primary School lower block plan showing entrances</w:t>
        </w:r>
      </w:hyperlink>
    </w:p>
    <w:sectPr>
      <w:headerReference w:type="default" r:id="rId21"/>
      <w:footerReference w:type="default" r:id="rId22"/>
      <w:pgSz w:w="16838" w:h="12406"/>
      <w:pgMar w:top="656" w:right="267" w:bottom="0" w:left="43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1506061"/>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13</w:t>
        </w:r>
        <w:r>
          <w:rPr>
            <w:noProof/>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Default"/>
      <w:jc w:val="center"/>
      <w:rPr>
        <w:rFonts w:asciiTheme="minorHAnsi" w:hAnsiTheme="minorHAnsi" w:cstheme="minorHAnsi"/>
      </w:rPr>
    </w:pPr>
    <w:r>
      <w:rPr>
        <w:rFonts w:asciiTheme="minorHAnsi" w:hAnsiTheme="minorHAnsi" w:cstheme="minorHAnsi"/>
        <w:b/>
        <w:bCs/>
      </w:rPr>
      <w:t>Recovery Plan and Risk Assessment for 1st Phase of School Re-Opening June 29</w:t>
    </w:r>
    <w:r>
      <w:rPr>
        <w:rFonts w:asciiTheme="minorHAnsi" w:hAnsiTheme="minorHAnsi" w:cstheme="minorHAnsi"/>
        <w:b/>
        <w:bCs/>
        <w:vertAlign w:val="superscript"/>
      </w:rPr>
      <w:t>th</w:t>
    </w:r>
    <w:r>
      <w:rPr>
        <w:rFonts w:asciiTheme="minorHAnsi" w:hAnsiTheme="minorHAnsi" w:cstheme="minorHAnsi"/>
        <w:b/>
        <w:bCs/>
      </w:rPr>
      <w:t xml:space="preserve"> 2020</w:t>
    </w:r>
  </w:p>
  <w:p>
    <w:pPr>
      <w:pStyle w:val="Header"/>
    </w:pPr>
  </w:p>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26F02CB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4F452C"/>
    <w:multiLevelType w:val="hybridMultilevel"/>
    <w:tmpl w:val="9C04F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8E7156"/>
    <w:multiLevelType w:val="hybridMultilevel"/>
    <w:tmpl w:val="78B2B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3E3C80"/>
    <w:multiLevelType w:val="hybridMultilevel"/>
    <w:tmpl w:val="9888467E"/>
    <w:lvl w:ilvl="0" w:tplc="61068CF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9A0E22"/>
    <w:multiLevelType w:val="hybridMultilevel"/>
    <w:tmpl w:val="BD4A4A4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C23E7C"/>
    <w:multiLevelType w:val="hybridMultilevel"/>
    <w:tmpl w:val="B25A9F7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080665"/>
    <w:multiLevelType w:val="hybridMultilevel"/>
    <w:tmpl w:val="E1BA3E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5E5A48"/>
    <w:multiLevelType w:val="hybridMultilevel"/>
    <w:tmpl w:val="3C90D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C856AB"/>
    <w:multiLevelType w:val="hybridMultilevel"/>
    <w:tmpl w:val="6F6AD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E61E6A"/>
    <w:multiLevelType w:val="hybridMultilevel"/>
    <w:tmpl w:val="4EBCDA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2B5DFB"/>
    <w:multiLevelType w:val="hybridMultilevel"/>
    <w:tmpl w:val="79344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BB3A0E"/>
    <w:multiLevelType w:val="hybridMultilevel"/>
    <w:tmpl w:val="F3326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4C0928"/>
    <w:multiLevelType w:val="hybridMultilevel"/>
    <w:tmpl w:val="E9EA7BE4"/>
    <w:lvl w:ilvl="0" w:tplc="61068CFA">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1C7804"/>
    <w:multiLevelType w:val="hybridMultilevel"/>
    <w:tmpl w:val="167CF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870FF5"/>
    <w:multiLevelType w:val="hybridMultilevel"/>
    <w:tmpl w:val="A39AC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CC4CF5"/>
    <w:multiLevelType w:val="hybridMultilevel"/>
    <w:tmpl w:val="48D47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1602DA"/>
    <w:multiLevelType w:val="hybridMultilevel"/>
    <w:tmpl w:val="491AC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487F40"/>
    <w:multiLevelType w:val="hybridMultilevel"/>
    <w:tmpl w:val="3E7A4CD0"/>
    <w:lvl w:ilvl="0" w:tplc="61068CFA">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5C0924"/>
    <w:multiLevelType w:val="hybridMultilevel"/>
    <w:tmpl w:val="9D6E2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5E30E0"/>
    <w:multiLevelType w:val="hybridMultilevel"/>
    <w:tmpl w:val="0B44AD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0920DCB"/>
    <w:multiLevelType w:val="hybridMultilevel"/>
    <w:tmpl w:val="5CD01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2A3DAC"/>
    <w:multiLevelType w:val="hybridMultilevel"/>
    <w:tmpl w:val="23526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411EAF"/>
    <w:multiLevelType w:val="hybridMultilevel"/>
    <w:tmpl w:val="A43AB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E93567"/>
    <w:multiLevelType w:val="hybridMultilevel"/>
    <w:tmpl w:val="CACA2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F6298E"/>
    <w:multiLevelType w:val="hybridMultilevel"/>
    <w:tmpl w:val="F04AE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FB66FE"/>
    <w:multiLevelType w:val="hybridMultilevel"/>
    <w:tmpl w:val="BCEE9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1A2BC9"/>
    <w:multiLevelType w:val="hybridMultilevel"/>
    <w:tmpl w:val="F53CA60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D47396"/>
    <w:multiLevelType w:val="hybridMultilevel"/>
    <w:tmpl w:val="1534B220"/>
    <w:lvl w:ilvl="0" w:tplc="61068CFA">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C0483B"/>
    <w:multiLevelType w:val="hybridMultilevel"/>
    <w:tmpl w:val="85323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890FE4"/>
    <w:multiLevelType w:val="hybridMultilevel"/>
    <w:tmpl w:val="BE122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AF0BAC"/>
    <w:multiLevelType w:val="hybridMultilevel"/>
    <w:tmpl w:val="D9C4B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9E6398C"/>
    <w:multiLevelType w:val="hybridMultilevel"/>
    <w:tmpl w:val="D70EB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954A37"/>
    <w:multiLevelType w:val="hybridMultilevel"/>
    <w:tmpl w:val="BCAEE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681A91"/>
    <w:multiLevelType w:val="hybridMultilevel"/>
    <w:tmpl w:val="36D03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D84F10"/>
    <w:multiLevelType w:val="hybridMultilevel"/>
    <w:tmpl w:val="9542892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CD65E3"/>
    <w:multiLevelType w:val="hybridMultilevel"/>
    <w:tmpl w:val="1B224B2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15:restartNumberingAfterBreak="0">
    <w:nsid w:val="53EA04AB"/>
    <w:multiLevelType w:val="hybridMultilevel"/>
    <w:tmpl w:val="7BC49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226748"/>
    <w:multiLevelType w:val="hybridMultilevel"/>
    <w:tmpl w:val="2AA8F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79E1059"/>
    <w:multiLevelType w:val="hybridMultilevel"/>
    <w:tmpl w:val="A1C6C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7E1FE5"/>
    <w:multiLevelType w:val="hybridMultilevel"/>
    <w:tmpl w:val="9198F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9D5066C"/>
    <w:multiLevelType w:val="hybridMultilevel"/>
    <w:tmpl w:val="10922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B115D4F"/>
    <w:multiLevelType w:val="hybridMultilevel"/>
    <w:tmpl w:val="CDB8C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DAA17C3"/>
    <w:multiLevelType w:val="hybridMultilevel"/>
    <w:tmpl w:val="AA9E0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F6B607D"/>
    <w:multiLevelType w:val="hybridMultilevel"/>
    <w:tmpl w:val="B0A67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16C2E5A"/>
    <w:multiLevelType w:val="hybridMultilevel"/>
    <w:tmpl w:val="BE428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16C3A66"/>
    <w:multiLevelType w:val="hybridMultilevel"/>
    <w:tmpl w:val="4DB203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42D535E"/>
    <w:multiLevelType w:val="hybridMultilevel"/>
    <w:tmpl w:val="FB0A621A"/>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43F031D"/>
    <w:multiLevelType w:val="hybridMultilevel"/>
    <w:tmpl w:val="01F20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558270E"/>
    <w:multiLevelType w:val="hybridMultilevel"/>
    <w:tmpl w:val="08589396"/>
    <w:lvl w:ilvl="0" w:tplc="61068CF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9" w15:restartNumberingAfterBreak="0">
    <w:nsid w:val="666210C7"/>
    <w:multiLevelType w:val="hybridMultilevel"/>
    <w:tmpl w:val="A2A07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87F2186"/>
    <w:multiLevelType w:val="hybridMultilevel"/>
    <w:tmpl w:val="9E42C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8D16AC2"/>
    <w:multiLevelType w:val="hybridMultilevel"/>
    <w:tmpl w:val="458ED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98D109B"/>
    <w:multiLevelType w:val="hybridMultilevel"/>
    <w:tmpl w:val="784EC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AA63384"/>
    <w:multiLevelType w:val="hybridMultilevel"/>
    <w:tmpl w:val="D20C9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EB96C4E"/>
    <w:multiLevelType w:val="hybridMultilevel"/>
    <w:tmpl w:val="6A862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2A45A03"/>
    <w:multiLevelType w:val="hybridMultilevel"/>
    <w:tmpl w:val="F2C29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509339D"/>
    <w:multiLevelType w:val="hybridMultilevel"/>
    <w:tmpl w:val="D444C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828766D"/>
    <w:multiLevelType w:val="hybridMultilevel"/>
    <w:tmpl w:val="24B0E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98817BF"/>
    <w:multiLevelType w:val="hybridMultilevel"/>
    <w:tmpl w:val="6FAEC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CD00BCB"/>
    <w:multiLevelType w:val="hybridMultilevel"/>
    <w:tmpl w:val="FF7AA458"/>
    <w:lvl w:ilvl="0" w:tplc="08090019">
      <w:start w:val="1"/>
      <w:numFmt w:val="lowerLetter"/>
      <w:lvlText w:val="%1."/>
      <w:lvlJc w:val="left"/>
      <w:pPr>
        <w:ind w:left="720" w:hanging="360"/>
      </w:pPr>
      <w:rPr>
        <w:rFonts w:hint="default"/>
      </w:rPr>
    </w:lvl>
    <w:lvl w:ilvl="1" w:tplc="5C9069A8">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D4341C7"/>
    <w:multiLevelType w:val="hybridMultilevel"/>
    <w:tmpl w:val="5162A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33"/>
  </w:num>
  <w:num w:numId="3">
    <w:abstractNumId w:val="26"/>
  </w:num>
  <w:num w:numId="4">
    <w:abstractNumId w:val="22"/>
  </w:num>
  <w:num w:numId="5">
    <w:abstractNumId w:val="19"/>
  </w:num>
  <w:num w:numId="6">
    <w:abstractNumId w:val="38"/>
  </w:num>
  <w:num w:numId="7">
    <w:abstractNumId w:val="60"/>
  </w:num>
  <w:num w:numId="8">
    <w:abstractNumId w:val="30"/>
  </w:num>
  <w:num w:numId="9">
    <w:abstractNumId w:val="52"/>
  </w:num>
  <w:num w:numId="10">
    <w:abstractNumId w:val="58"/>
  </w:num>
  <w:num w:numId="11">
    <w:abstractNumId w:val="28"/>
  </w:num>
  <w:num w:numId="12">
    <w:abstractNumId w:val="4"/>
  </w:num>
  <w:num w:numId="13">
    <w:abstractNumId w:val="47"/>
  </w:num>
  <w:num w:numId="14">
    <w:abstractNumId w:val="20"/>
  </w:num>
  <w:num w:numId="15">
    <w:abstractNumId w:val="12"/>
  </w:num>
  <w:num w:numId="16">
    <w:abstractNumId w:val="31"/>
  </w:num>
  <w:num w:numId="17">
    <w:abstractNumId w:val="56"/>
  </w:num>
  <w:num w:numId="18">
    <w:abstractNumId w:val="40"/>
  </w:num>
  <w:num w:numId="19">
    <w:abstractNumId w:val="48"/>
  </w:num>
  <w:num w:numId="20">
    <w:abstractNumId w:val="17"/>
  </w:num>
  <w:num w:numId="21">
    <w:abstractNumId w:val="27"/>
  </w:num>
  <w:num w:numId="22">
    <w:abstractNumId w:val="49"/>
  </w:num>
  <w:num w:numId="23">
    <w:abstractNumId w:val="3"/>
  </w:num>
  <w:num w:numId="24">
    <w:abstractNumId w:val="45"/>
  </w:num>
  <w:num w:numId="25">
    <w:abstractNumId w:val="25"/>
  </w:num>
  <w:num w:numId="26">
    <w:abstractNumId w:val="37"/>
  </w:num>
  <w:num w:numId="27">
    <w:abstractNumId w:val="5"/>
  </w:num>
  <w:num w:numId="28">
    <w:abstractNumId w:val="43"/>
  </w:num>
  <w:num w:numId="29">
    <w:abstractNumId w:val="9"/>
  </w:num>
  <w:num w:numId="30">
    <w:abstractNumId w:val="57"/>
  </w:num>
  <w:num w:numId="31">
    <w:abstractNumId w:val="1"/>
  </w:num>
  <w:num w:numId="32">
    <w:abstractNumId w:val="41"/>
  </w:num>
  <w:num w:numId="33">
    <w:abstractNumId w:val="16"/>
  </w:num>
  <w:num w:numId="34">
    <w:abstractNumId w:val="53"/>
  </w:num>
  <w:num w:numId="35">
    <w:abstractNumId w:val="36"/>
  </w:num>
  <w:num w:numId="36">
    <w:abstractNumId w:val="13"/>
  </w:num>
  <w:num w:numId="37">
    <w:abstractNumId w:val="44"/>
  </w:num>
  <w:num w:numId="38">
    <w:abstractNumId w:val="55"/>
  </w:num>
  <w:num w:numId="39">
    <w:abstractNumId w:val="18"/>
  </w:num>
  <w:num w:numId="40">
    <w:abstractNumId w:val="35"/>
  </w:num>
  <w:num w:numId="41">
    <w:abstractNumId w:val="2"/>
  </w:num>
  <w:num w:numId="42">
    <w:abstractNumId w:val="50"/>
  </w:num>
  <w:num w:numId="43">
    <w:abstractNumId w:val="59"/>
  </w:num>
  <w:num w:numId="44">
    <w:abstractNumId w:val="6"/>
  </w:num>
  <w:num w:numId="45">
    <w:abstractNumId w:val="46"/>
  </w:num>
  <w:num w:numId="46">
    <w:abstractNumId w:val="42"/>
  </w:num>
  <w:num w:numId="47">
    <w:abstractNumId w:val="7"/>
  </w:num>
  <w:num w:numId="48">
    <w:abstractNumId w:val="15"/>
  </w:num>
  <w:num w:numId="49">
    <w:abstractNumId w:val="14"/>
  </w:num>
  <w:num w:numId="50">
    <w:abstractNumId w:val="10"/>
  </w:num>
  <w:num w:numId="51">
    <w:abstractNumId w:val="29"/>
  </w:num>
  <w:num w:numId="52">
    <w:abstractNumId w:val="54"/>
  </w:num>
  <w:num w:numId="53">
    <w:abstractNumId w:val="51"/>
  </w:num>
  <w:num w:numId="54">
    <w:abstractNumId w:val="32"/>
  </w:num>
  <w:num w:numId="55">
    <w:abstractNumId w:val="39"/>
  </w:num>
  <w:num w:numId="56">
    <w:abstractNumId w:val="34"/>
  </w:num>
  <w:num w:numId="57">
    <w:abstractNumId w:val="0"/>
  </w:num>
  <w:num w:numId="58">
    <w:abstractNumId w:val="11"/>
  </w:num>
  <w:num w:numId="59">
    <w:abstractNumId w:val="24"/>
  </w:num>
  <w:num w:numId="60">
    <w:abstractNumId w:val="8"/>
  </w:num>
  <w:num w:numId="61">
    <w:abstractNumId w:val="2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637849-584F-45B5-BB86-61D00ECC2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spacing w:after="0" w:line="240" w:lineRule="auto"/>
    </w:pPr>
    <w:rPr>
      <w:rFonts w:ascii="Tahoma" w:hAnsi="Tahoma" w:cs="Tahoma"/>
      <w:color w:val="000000"/>
      <w:sz w:val="24"/>
      <w:szCs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Bullet">
    <w:name w:val="List Bullet"/>
    <w:basedOn w:val="Normal"/>
    <w:uiPriority w:val="99"/>
    <w:unhideWhenUsed/>
    <w:pPr>
      <w:numPr>
        <w:numId w:val="57"/>
      </w:numPr>
      <w:contextualSpacing/>
    </w:pPr>
  </w:style>
  <w:style w:type="character" w:styleId="Hyperlink">
    <w:name w:val="Hyperlink"/>
    <w:basedOn w:val="DefaultParagraphFont"/>
    <w:uiPriority w:val="99"/>
    <w:semiHidden/>
    <w:unhideWhenUsed/>
    <w:rPr>
      <w:color w:val="0563C1"/>
      <w:u w:val="single"/>
    </w:rPr>
  </w:style>
  <w:style w:type="paragraph" w:customStyle="1" w:styleId="paragraph">
    <w:name w:val="paragraph"/>
    <w:basedOn w:val="Normal"/>
    <w:pPr>
      <w:spacing w:before="100" w:beforeAutospacing="1" w:after="100" w:afterAutospacing="1" w:line="240" w:lineRule="auto"/>
    </w:pPr>
    <w:rPr>
      <w:rFonts w:ascii="Times New Roman" w:hAnsi="Times New Roman" w:cs="Times New Roman"/>
      <w:sz w:val="24"/>
      <w:szCs w:val="24"/>
      <w:lang w:eastAsia="en-GB"/>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6415834">
      <w:bodyDiv w:val="1"/>
      <w:marLeft w:val="0"/>
      <w:marRight w:val="0"/>
      <w:marTop w:val="0"/>
      <w:marBottom w:val="0"/>
      <w:divBdr>
        <w:top w:val="none" w:sz="0" w:space="0" w:color="auto"/>
        <w:left w:val="none" w:sz="0" w:space="0" w:color="auto"/>
        <w:bottom w:val="none" w:sz="0" w:space="0" w:color="auto"/>
        <w:right w:val="none" w:sz="0" w:space="0" w:color="auto"/>
      </w:divBdr>
    </w:div>
    <w:div w:id="1060641435">
      <w:bodyDiv w:val="1"/>
      <w:marLeft w:val="0"/>
      <w:marRight w:val="0"/>
      <w:marTop w:val="0"/>
      <w:marBottom w:val="0"/>
      <w:divBdr>
        <w:top w:val="none" w:sz="0" w:space="0" w:color="auto"/>
        <w:left w:val="none" w:sz="0" w:space="0" w:color="auto"/>
        <w:bottom w:val="none" w:sz="0" w:space="0" w:color="auto"/>
        <w:right w:val="none" w:sz="0" w:space="0" w:color="auto"/>
      </w:divBdr>
    </w:div>
    <w:div w:id="1136684549">
      <w:bodyDiv w:val="1"/>
      <w:marLeft w:val="0"/>
      <w:marRight w:val="0"/>
      <w:marTop w:val="0"/>
      <w:marBottom w:val="0"/>
      <w:divBdr>
        <w:top w:val="none" w:sz="0" w:space="0" w:color="auto"/>
        <w:left w:val="none" w:sz="0" w:space="0" w:color="auto"/>
        <w:bottom w:val="none" w:sz="0" w:space="0" w:color="auto"/>
        <w:right w:val="none" w:sz="0" w:space="0" w:color="auto"/>
      </w:divBdr>
    </w:div>
    <w:div w:id="1144002453">
      <w:bodyDiv w:val="1"/>
      <w:marLeft w:val="0"/>
      <w:marRight w:val="0"/>
      <w:marTop w:val="0"/>
      <w:marBottom w:val="0"/>
      <w:divBdr>
        <w:top w:val="none" w:sz="0" w:space="0" w:color="auto"/>
        <w:left w:val="none" w:sz="0" w:space="0" w:color="auto"/>
        <w:bottom w:val="none" w:sz="0" w:space="0" w:color="auto"/>
        <w:right w:val="none" w:sz="0" w:space="0" w:color="auto"/>
      </w:divBdr>
    </w:div>
    <w:div w:id="1371538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d6vsczyu1rky0.cloudfront.net/36604_b/wp-content/uploads/2020/06/Risk-assessment-for-schools-returning-COVID-23-06-2020.docx"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d6vsczyu1rky0.cloudfront.net/36604_b/wp-content/uploads/2020/06/CICU-NPT-Guidance-updated.docx" TargetMode="External"/><Relationship Id="rId2" Type="http://schemas.openxmlformats.org/officeDocument/2006/relationships/numbering" Target="numbering.xml"/><Relationship Id="rId16" Type="http://schemas.openxmlformats.org/officeDocument/2006/relationships/hyperlink" Target="https://gov.wales/keep-education-safe-operational-guidance-schools-and-settings-covid-19" TargetMode="External"/><Relationship Id="rId20" Type="http://schemas.openxmlformats.org/officeDocument/2006/relationships/hyperlink" Target="http://d6vsczyu1rky0.cloudfront.net/36604_b/wp-content/uploads/2020/06/Maesmarchog-Primary-School-lower-block-plan-showing-entrance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d6vsczyu1rky0.cloudfront.net/36604_b/wp-content/uploads/2020/06/Maesmarchog-Primary-Main-Block-002-CAD-plan-showing-entrances.pdf" TargetMode="External"/><Relationship Id="rId4" Type="http://schemas.openxmlformats.org/officeDocument/2006/relationships/settings" Target="settings.xml"/><Relationship Id="rId9" Type="http://schemas.openxmlformats.org/officeDocument/2006/relationships/hyperlink" Target="https://gov.wales/keep-education-safe-operational-guidance-schools-and-settings-covid-19" TargetMode="External"/><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EC9E3E-EBA3-45D9-A790-BFC1DB006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737B60AD</Template>
  <TotalTime>0</TotalTime>
  <Pages>13</Pages>
  <Words>3317</Words>
  <Characters>18913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NPTCBC Schools &amp; Learning</Company>
  <LinksUpToDate>false</LinksUpToDate>
  <CharactersWithSpaces>22186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Geraint Jones</dc:creator>
  <cp:keywords/>
  <dc:description/>
  <cp:lastModifiedBy>Maesmarchog Community Primary Headteacher (6712155) - Katrina Winston</cp:lastModifiedBy>
  <cp:revision>2</cp:revision>
  <dcterms:created xsi:type="dcterms:W3CDTF">2020-06-24T15:29:00Z</dcterms:created>
  <dcterms:modified xsi:type="dcterms:W3CDTF">2020-06-24T15:29:00Z</dcterms:modified>
</cp:coreProperties>
</file>