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0" w:type="dxa"/>
        <w:tblLook w:val="04A0" w:firstRow="1" w:lastRow="0" w:firstColumn="1" w:lastColumn="0" w:noHBand="0" w:noVBand="1"/>
      </w:tblPr>
      <w:tblGrid>
        <w:gridCol w:w="2254"/>
        <w:gridCol w:w="3972"/>
        <w:gridCol w:w="3972"/>
        <w:gridCol w:w="3972"/>
      </w:tblGrid>
      <w:tr w:rsidR="000D48FB" w:rsidTr="00810C2D">
        <w:tc>
          <w:tcPr>
            <w:tcW w:w="2254" w:type="dxa"/>
          </w:tcPr>
          <w:p w:rsidR="000D48FB" w:rsidRDefault="000D48FB">
            <w:bookmarkStart w:id="0" w:name="_GoBack"/>
            <w:bookmarkEnd w:id="0"/>
          </w:p>
        </w:tc>
        <w:tc>
          <w:tcPr>
            <w:tcW w:w="3972" w:type="dxa"/>
            <w:shd w:val="clear" w:color="auto" w:fill="0070C0"/>
          </w:tcPr>
          <w:p w:rsidR="000D48FB" w:rsidRPr="00810C2D" w:rsidRDefault="000D48FB">
            <w:pPr>
              <w:rPr>
                <w:b/>
              </w:rPr>
            </w:pPr>
            <w:r w:rsidRPr="00810C2D">
              <w:rPr>
                <w:b/>
              </w:rPr>
              <w:t>Alert level 2</w:t>
            </w:r>
          </w:p>
        </w:tc>
        <w:tc>
          <w:tcPr>
            <w:tcW w:w="3972" w:type="dxa"/>
            <w:shd w:val="clear" w:color="auto" w:fill="FF6600"/>
          </w:tcPr>
          <w:p w:rsidR="000D48FB" w:rsidRPr="00810C2D" w:rsidRDefault="000D48FB">
            <w:pPr>
              <w:rPr>
                <w:b/>
              </w:rPr>
            </w:pPr>
            <w:r w:rsidRPr="00810C2D">
              <w:rPr>
                <w:b/>
              </w:rPr>
              <w:t>Local risk HIGH</w:t>
            </w:r>
          </w:p>
        </w:tc>
        <w:tc>
          <w:tcPr>
            <w:tcW w:w="3972" w:type="dxa"/>
            <w:shd w:val="clear" w:color="auto" w:fill="FF0000"/>
          </w:tcPr>
          <w:p w:rsidR="000D48FB" w:rsidRPr="00810C2D" w:rsidRDefault="000D48FB">
            <w:pPr>
              <w:rPr>
                <w:b/>
              </w:rPr>
            </w:pPr>
            <w:r w:rsidRPr="00810C2D">
              <w:rPr>
                <w:b/>
              </w:rPr>
              <w:t>Local risk VERY HIGH</w:t>
            </w:r>
          </w:p>
        </w:tc>
      </w:tr>
      <w:tr w:rsidR="00810C2D" w:rsidTr="002A0EEC">
        <w:tc>
          <w:tcPr>
            <w:tcW w:w="2254" w:type="dxa"/>
          </w:tcPr>
          <w:p w:rsidR="00810C2D" w:rsidRPr="00810C2D" w:rsidRDefault="00810C2D">
            <w:pPr>
              <w:rPr>
                <w:b/>
              </w:rPr>
            </w:pPr>
            <w:r w:rsidRPr="00810C2D">
              <w:rPr>
                <w:b/>
              </w:rPr>
              <w:t>General</w:t>
            </w:r>
          </w:p>
        </w:tc>
        <w:tc>
          <w:tcPr>
            <w:tcW w:w="11916" w:type="dxa"/>
            <w:gridSpan w:val="3"/>
          </w:tcPr>
          <w:p w:rsidR="00810C2D" w:rsidRDefault="00810C2D">
            <w:r w:rsidRPr="00810C2D">
              <w:t>Continue with existing controls</w:t>
            </w:r>
          </w:p>
        </w:tc>
      </w:tr>
      <w:tr w:rsidR="000D48FB" w:rsidTr="00810C2D">
        <w:tc>
          <w:tcPr>
            <w:tcW w:w="2254" w:type="dxa"/>
          </w:tcPr>
          <w:p w:rsidR="000D48FB" w:rsidRPr="00810C2D" w:rsidRDefault="0084183D">
            <w:pPr>
              <w:rPr>
                <w:b/>
              </w:rPr>
            </w:pPr>
            <w:r w:rsidRPr="00810C2D">
              <w:rPr>
                <w:b/>
              </w:rPr>
              <w:t>School Workforce</w:t>
            </w:r>
          </w:p>
        </w:tc>
        <w:tc>
          <w:tcPr>
            <w:tcW w:w="3972" w:type="dxa"/>
          </w:tcPr>
          <w:p w:rsidR="000D48FB" w:rsidRPr="008561FA" w:rsidRDefault="0084183D" w:rsidP="0084183D">
            <w:pPr>
              <w:pStyle w:val="ListParagraph"/>
              <w:numPr>
                <w:ilvl w:val="0"/>
                <w:numId w:val="1"/>
              </w:numPr>
              <w:ind w:left="330" w:hanging="330"/>
            </w:pPr>
            <w:r>
              <w:t>Everyone must self-isolate for 7 days if they test positive for COVID-19.</w:t>
            </w:r>
            <w:r w:rsidR="00810C2D">
              <w:t xml:space="preserve"> </w:t>
            </w:r>
            <w:r>
              <w:t>You should take a Lateral Flow Test (LFT) on day 6 and day 7. If either LFT</w:t>
            </w:r>
            <w:r w:rsidR="00810C2D">
              <w:t xml:space="preserve"> </w:t>
            </w:r>
            <w:r>
              <w:t>is positive, you should remain in isolation until 2 negative LFTs or after day</w:t>
            </w:r>
            <w:r w:rsidR="00810C2D">
              <w:t xml:space="preserve"> </w:t>
            </w:r>
            <w:r>
              <w:t>10, whichever is sooner. The rules for close contact of someone who has</w:t>
            </w:r>
            <w:r w:rsidR="00810C2D">
              <w:t xml:space="preserve"> </w:t>
            </w:r>
            <w:r>
              <w:t>tested positive are in the Self-isolation guidance.</w:t>
            </w:r>
            <w:r w:rsidR="00810C2D">
              <w:t xml:space="preserve"> </w:t>
            </w:r>
            <w:r w:rsidR="00810C2D">
              <w:rPr>
                <w:b/>
              </w:rPr>
              <w:t xml:space="preserve">TTP to </w:t>
            </w:r>
            <w:proofErr w:type="gramStart"/>
            <w:r w:rsidR="00810C2D">
              <w:rPr>
                <w:b/>
              </w:rPr>
              <w:t>advis</w:t>
            </w:r>
            <w:r w:rsidR="00810C2D" w:rsidRPr="00810C2D">
              <w:rPr>
                <w:b/>
              </w:rPr>
              <w:t>e</w:t>
            </w:r>
            <w:proofErr w:type="gramEnd"/>
            <w:r w:rsidR="00810C2D">
              <w:rPr>
                <w:b/>
              </w:rPr>
              <w:t>.</w:t>
            </w:r>
          </w:p>
          <w:p w:rsidR="008561FA" w:rsidRDefault="001F13D2" w:rsidP="008561FA">
            <w:pPr>
              <w:pStyle w:val="ListParagraph"/>
              <w:ind w:left="330"/>
            </w:pPr>
            <w:hyperlink r:id="rId5" w:history="1">
              <w:r w:rsidR="008561FA" w:rsidRPr="00CC769B">
                <w:rPr>
                  <w:rStyle w:val="Hyperlink"/>
                </w:rPr>
                <w:t>https://gov.wales/self-isolation</w:t>
              </w:r>
            </w:hyperlink>
            <w:r w:rsidR="008561FA">
              <w:t xml:space="preserve"> </w:t>
            </w:r>
          </w:p>
          <w:p w:rsidR="00810C2D" w:rsidRDefault="0084183D" w:rsidP="00810C2D">
            <w:pPr>
              <w:pStyle w:val="ListParagraph"/>
              <w:numPr>
                <w:ilvl w:val="0"/>
                <w:numId w:val="1"/>
              </w:numPr>
              <w:ind w:left="330" w:hanging="330"/>
            </w:pPr>
            <w:r>
              <w:t>From 20 December people must work from home where reasonably</w:t>
            </w:r>
            <w:r w:rsidR="00810C2D">
              <w:t xml:space="preserve"> </w:t>
            </w:r>
            <w:r>
              <w:t>practicable for them to do so. Employers must allow or require their</w:t>
            </w:r>
            <w:r w:rsidR="00810C2D">
              <w:t xml:space="preserve"> </w:t>
            </w:r>
            <w:r>
              <w:t>employees to work from home unless there is a clear business or well-being</w:t>
            </w:r>
            <w:r w:rsidR="00810C2D">
              <w:t xml:space="preserve"> </w:t>
            </w:r>
            <w:r>
              <w:t>need that would make working from home impractical, in line with their duties</w:t>
            </w:r>
            <w:r w:rsidR="00810C2D">
              <w:t xml:space="preserve"> </w:t>
            </w:r>
            <w:r>
              <w:t>to take reasonable measures.</w:t>
            </w:r>
          </w:p>
        </w:tc>
        <w:tc>
          <w:tcPr>
            <w:tcW w:w="3972" w:type="dxa"/>
          </w:tcPr>
          <w:p w:rsidR="000D48FB" w:rsidRDefault="0076491A">
            <w:r w:rsidRPr="0076491A">
              <w:t>LFD testing three times a week available for staff and secondary aged learners to help identify and isolate asymptomatic cases as soon as possible.</w:t>
            </w:r>
          </w:p>
        </w:tc>
        <w:tc>
          <w:tcPr>
            <w:tcW w:w="3972" w:type="dxa"/>
          </w:tcPr>
          <w:p w:rsidR="000D48FB" w:rsidRDefault="0076491A">
            <w:r w:rsidRPr="0076491A">
              <w:t>LFD testing three times a week available and strongly encouraged for staff and secondary aged learners to help identify and isolate asymptomatic cases as soon as possible.</w:t>
            </w:r>
          </w:p>
        </w:tc>
      </w:tr>
      <w:tr w:rsidR="00810C2D" w:rsidTr="00810C2D">
        <w:tc>
          <w:tcPr>
            <w:tcW w:w="2254" w:type="dxa"/>
          </w:tcPr>
          <w:p w:rsidR="00810C2D" w:rsidRPr="00810C2D" w:rsidRDefault="00810C2D">
            <w:pPr>
              <w:rPr>
                <w:b/>
              </w:rPr>
            </w:pPr>
            <w:r w:rsidRPr="00810C2D">
              <w:rPr>
                <w:b/>
              </w:rPr>
              <w:t>Symptoms of Covid-19/Symptomatic person</w:t>
            </w:r>
          </w:p>
        </w:tc>
        <w:tc>
          <w:tcPr>
            <w:tcW w:w="11916" w:type="dxa"/>
            <w:gridSpan w:val="3"/>
          </w:tcPr>
          <w:p w:rsidR="00810C2D" w:rsidRDefault="00810C2D">
            <w:r>
              <w:t xml:space="preserve">Continue with existing controls </w:t>
            </w:r>
          </w:p>
        </w:tc>
      </w:tr>
      <w:tr w:rsidR="000D48FB" w:rsidTr="00810C2D">
        <w:tc>
          <w:tcPr>
            <w:tcW w:w="2254" w:type="dxa"/>
          </w:tcPr>
          <w:p w:rsidR="000D48FB" w:rsidRPr="00810C2D" w:rsidRDefault="0084183D">
            <w:pPr>
              <w:rPr>
                <w:b/>
              </w:rPr>
            </w:pPr>
            <w:r w:rsidRPr="00810C2D">
              <w:rPr>
                <w:b/>
              </w:rPr>
              <w:t>Physical Distancing</w:t>
            </w:r>
          </w:p>
        </w:tc>
        <w:tc>
          <w:tcPr>
            <w:tcW w:w="3972" w:type="dxa"/>
          </w:tcPr>
          <w:p w:rsidR="000D48FB" w:rsidRDefault="00810C2D" w:rsidP="0084183D">
            <w:r>
              <w:t xml:space="preserve">From 26 December all </w:t>
            </w:r>
            <w:r w:rsidR="0084183D">
              <w:t>businesses will be requi</w:t>
            </w:r>
            <w:r>
              <w:t xml:space="preserve">red to put in place measures to maintain 2m social </w:t>
            </w:r>
            <w:r w:rsidR="0084183D">
              <w:t>distancing, this could in</w:t>
            </w:r>
            <w:r>
              <w:t xml:space="preserve">clude measures such as physical barriers and one </w:t>
            </w:r>
            <w:r w:rsidR="0084183D">
              <w:t>way systems.</w:t>
            </w:r>
          </w:p>
        </w:tc>
        <w:tc>
          <w:tcPr>
            <w:tcW w:w="3972" w:type="dxa"/>
          </w:tcPr>
          <w:p w:rsidR="0076491A" w:rsidRDefault="0076491A" w:rsidP="0076491A">
            <w:r>
              <w:t>Implement arrangements aimed at reducing close interactions between staff and learners. This may include:</w:t>
            </w:r>
          </w:p>
          <w:p w:rsidR="0076491A" w:rsidRDefault="0076491A" w:rsidP="00E91436">
            <w:pPr>
              <w:tabs>
                <w:tab w:val="left" w:pos="468"/>
              </w:tabs>
            </w:pPr>
            <w:r>
              <w:t>•</w:t>
            </w:r>
            <w:r>
              <w:tab/>
              <w:t xml:space="preserve">not holding large group gatherings </w:t>
            </w:r>
            <w:r w:rsidR="00E91436">
              <w:tab/>
            </w:r>
            <w:r>
              <w:t>such as assemblies</w:t>
            </w:r>
          </w:p>
          <w:p w:rsidR="0076491A" w:rsidRDefault="0076491A" w:rsidP="00E91436">
            <w:pPr>
              <w:tabs>
                <w:tab w:val="left" w:pos="468"/>
              </w:tabs>
            </w:pPr>
            <w:r>
              <w:t>•</w:t>
            </w:r>
            <w:r>
              <w:tab/>
              <w:t>the use of one way systems</w:t>
            </w:r>
          </w:p>
          <w:p w:rsidR="0076491A" w:rsidRDefault="0076491A" w:rsidP="00E91436">
            <w:pPr>
              <w:tabs>
                <w:tab w:val="left" w:pos="468"/>
              </w:tabs>
            </w:pPr>
            <w:r>
              <w:t>•</w:t>
            </w:r>
            <w:r>
              <w:tab/>
              <w:t xml:space="preserve">consistent seating plans </w:t>
            </w:r>
            <w:r w:rsidR="00E91436">
              <w:tab/>
              <w:t xml:space="preserve">(recognising this may not be </w:t>
            </w:r>
            <w:r w:rsidR="00E91436">
              <w:tab/>
            </w:r>
            <w:r>
              <w:t>possible for younger learners)</w:t>
            </w:r>
          </w:p>
          <w:p w:rsidR="0076491A" w:rsidRDefault="0076491A" w:rsidP="00E91436">
            <w:pPr>
              <w:tabs>
                <w:tab w:val="left" w:pos="424"/>
                <w:tab w:val="left" w:pos="468"/>
              </w:tabs>
            </w:pPr>
            <w:r>
              <w:t>•</w:t>
            </w:r>
            <w:r>
              <w:tab/>
              <w:t>using outdoor spaces where possible</w:t>
            </w:r>
          </w:p>
          <w:p w:rsidR="000D48FB" w:rsidRDefault="0076491A" w:rsidP="00E91436">
            <w:pPr>
              <w:tabs>
                <w:tab w:val="left" w:pos="468"/>
              </w:tabs>
            </w:pPr>
            <w:r>
              <w:t>•</w:t>
            </w:r>
            <w:r>
              <w:tab/>
            </w:r>
            <w:proofErr w:type="gramStart"/>
            <w:r>
              <w:t>floor</w:t>
            </w:r>
            <w:proofErr w:type="gramEnd"/>
            <w:r>
              <w:t xml:space="preserve"> signage.</w:t>
            </w:r>
          </w:p>
          <w:p w:rsidR="0076491A" w:rsidRDefault="0076491A" w:rsidP="0076491A"/>
          <w:p w:rsidR="0076491A" w:rsidRDefault="0076491A" w:rsidP="0076491A">
            <w:r w:rsidRPr="0076491A">
              <w:t>Physical distancing and seating plans in place in classrooms. This may include forward facing desks depending on room capacity and risk assessment, recognising that this may not be possible with younger children or with learners that require one to one support.</w:t>
            </w:r>
          </w:p>
        </w:tc>
        <w:tc>
          <w:tcPr>
            <w:tcW w:w="3972" w:type="dxa"/>
          </w:tcPr>
          <w:p w:rsidR="000D48FB" w:rsidRDefault="0076491A">
            <w:r w:rsidRPr="0076491A">
              <w:lastRenderedPageBreak/>
              <w:t xml:space="preserve">Reduce close interactions between learners to the lowest practical level. This may include the measures set out at the High level as well as introduction of contact groups and potentially pausing after school/breakfast provision, or team sports where necessary. Welsh Government may determine that for limited periods of time flexibility is given to enable schools to consider the introduction of staggered school session </w:t>
            </w:r>
            <w:r w:rsidRPr="0076491A">
              <w:lastRenderedPageBreak/>
              <w:t>times as part of their overall package of measures. Schools will be notified of this flexibility and the period of time that it is in place.</w:t>
            </w:r>
          </w:p>
          <w:p w:rsidR="0076491A" w:rsidRDefault="0076491A"/>
          <w:p w:rsidR="0076491A" w:rsidRDefault="0076491A">
            <w:r w:rsidRPr="0076491A">
              <w:t>Physical distancing and seating plans in place in classrooms. This may include forward facing desks depending on room capacity and risk assessment, recognising that this may not be possible with younger children or with learners that require one to one support.</w:t>
            </w:r>
          </w:p>
        </w:tc>
      </w:tr>
      <w:tr w:rsidR="00810C2D" w:rsidTr="00810C2D">
        <w:tc>
          <w:tcPr>
            <w:tcW w:w="2254" w:type="dxa"/>
          </w:tcPr>
          <w:p w:rsidR="00810C2D" w:rsidRPr="00810C2D" w:rsidRDefault="00810C2D">
            <w:pPr>
              <w:rPr>
                <w:b/>
              </w:rPr>
            </w:pPr>
            <w:r w:rsidRPr="00810C2D">
              <w:rPr>
                <w:b/>
              </w:rPr>
              <w:lastRenderedPageBreak/>
              <w:t>Ventilation</w:t>
            </w:r>
          </w:p>
        </w:tc>
        <w:tc>
          <w:tcPr>
            <w:tcW w:w="11916" w:type="dxa"/>
            <w:gridSpan w:val="3"/>
          </w:tcPr>
          <w:p w:rsidR="00810C2D" w:rsidRDefault="00810C2D">
            <w:r w:rsidRPr="00810C2D">
              <w:t>Continue with existing controls</w:t>
            </w:r>
          </w:p>
        </w:tc>
      </w:tr>
      <w:tr w:rsidR="00810C2D" w:rsidTr="00810C2D">
        <w:tc>
          <w:tcPr>
            <w:tcW w:w="2254" w:type="dxa"/>
          </w:tcPr>
          <w:p w:rsidR="00810C2D" w:rsidRPr="00810C2D" w:rsidRDefault="00810C2D">
            <w:pPr>
              <w:rPr>
                <w:b/>
              </w:rPr>
            </w:pPr>
            <w:r w:rsidRPr="00810C2D">
              <w:rPr>
                <w:b/>
              </w:rPr>
              <w:t>Hand/Respiratory Hygiene</w:t>
            </w:r>
          </w:p>
        </w:tc>
        <w:tc>
          <w:tcPr>
            <w:tcW w:w="11916" w:type="dxa"/>
            <w:gridSpan w:val="3"/>
          </w:tcPr>
          <w:p w:rsidR="00810C2D" w:rsidRDefault="00810C2D">
            <w:r w:rsidRPr="00810C2D">
              <w:t>Continue with existing controls</w:t>
            </w:r>
          </w:p>
        </w:tc>
      </w:tr>
      <w:tr w:rsidR="00810C2D" w:rsidTr="00810C2D">
        <w:tc>
          <w:tcPr>
            <w:tcW w:w="2254" w:type="dxa"/>
          </w:tcPr>
          <w:p w:rsidR="00810C2D" w:rsidRPr="00810C2D" w:rsidRDefault="00810C2D">
            <w:pPr>
              <w:rPr>
                <w:b/>
              </w:rPr>
            </w:pPr>
            <w:r w:rsidRPr="00810C2D">
              <w:rPr>
                <w:b/>
              </w:rPr>
              <w:t>Cleaning</w:t>
            </w:r>
          </w:p>
        </w:tc>
        <w:tc>
          <w:tcPr>
            <w:tcW w:w="11916" w:type="dxa"/>
            <w:gridSpan w:val="3"/>
          </w:tcPr>
          <w:p w:rsidR="00810C2D" w:rsidRDefault="00810C2D">
            <w:r w:rsidRPr="00810C2D">
              <w:t>Continue with existing controls</w:t>
            </w:r>
          </w:p>
        </w:tc>
      </w:tr>
      <w:tr w:rsidR="0076491A" w:rsidTr="00810C2D">
        <w:tc>
          <w:tcPr>
            <w:tcW w:w="2254" w:type="dxa"/>
          </w:tcPr>
          <w:p w:rsidR="0076491A" w:rsidRPr="00810C2D" w:rsidRDefault="0076491A">
            <w:pPr>
              <w:rPr>
                <w:b/>
              </w:rPr>
            </w:pPr>
            <w:r w:rsidRPr="00810C2D">
              <w:rPr>
                <w:b/>
              </w:rPr>
              <w:t>Face Coverings</w:t>
            </w:r>
          </w:p>
        </w:tc>
        <w:tc>
          <w:tcPr>
            <w:tcW w:w="11916" w:type="dxa"/>
            <w:gridSpan w:val="3"/>
          </w:tcPr>
          <w:p w:rsidR="0076491A" w:rsidRDefault="0076491A" w:rsidP="0076491A">
            <w:r>
              <w:t>•</w:t>
            </w:r>
            <w:r>
              <w:tab/>
              <w:t xml:space="preserve">Face coverings should be worn by staff and visitors in all indoor areas of all educational settings, including classrooms, </w:t>
            </w:r>
            <w:r w:rsidR="00810C2D">
              <w:tab/>
            </w:r>
            <w:r>
              <w:t>where physical distance cannot be maintained.</w:t>
            </w:r>
          </w:p>
          <w:p w:rsidR="0076491A" w:rsidRDefault="0076491A" w:rsidP="0076491A">
            <w:r>
              <w:t>•</w:t>
            </w:r>
            <w:r>
              <w:tab/>
              <w:t xml:space="preserve">Face coverings should be worn by secondary aged learners in all indoor areas, including classrooms, where physical </w:t>
            </w:r>
            <w:r w:rsidR="00810C2D">
              <w:tab/>
            </w:r>
            <w:r>
              <w:t>distance cannot be maintained.</w:t>
            </w:r>
          </w:p>
          <w:p w:rsidR="0076491A" w:rsidRDefault="0076491A" w:rsidP="0076491A">
            <w:r>
              <w:t>•</w:t>
            </w:r>
            <w:r>
              <w:tab/>
              <w:t>Face coverings continue to be recommended to be worn by secondary aged learners on school transport.</w:t>
            </w:r>
          </w:p>
          <w:p w:rsidR="0076491A" w:rsidRDefault="0076491A" w:rsidP="0076491A">
            <w:r>
              <w:t>•</w:t>
            </w:r>
            <w:r>
              <w:tab/>
              <w:t xml:space="preserve">There will be some learners and staff who are exempt from wearing face coverings - we do not expect this to change that </w:t>
            </w:r>
            <w:r w:rsidR="00810C2D">
              <w:tab/>
            </w:r>
            <w:r>
              <w:t xml:space="preserve">position as the wellbeing of individuals is critical to any considerations around whether staff or learners should wear face </w:t>
            </w:r>
            <w:r w:rsidR="00810C2D">
              <w:tab/>
            </w:r>
            <w:r>
              <w:t>coverings.</w:t>
            </w:r>
          </w:p>
        </w:tc>
      </w:tr>
      <w:tr w:rsidR="00810C2D" w:rsidTr="00810C2D">
        <w:tc>
          <w:tcPr>
            <w:tcW w:w="2254" w:type="dxa"/>
          </w:tcPr>
          <w:p w:rsidR="00810C2D" w:rsidRPr="00810C2D" w:rsidRDefault="00810C2D">
            <w:pPr>
              <w:rPr>
                <w:b/>
              </w:rPr>
            </w:pPr>
            <w:r w:rsidRPr="00810C2D">
              <w:rPr>
                <w:b/>
              </w:rPr>
              <w:t>Personal Protective Equipment (PPE)</w:t>
            </w:r>
          </w:p>
        </w:tc>
        <w:tc>
          <w:tcPr>
            <w:tcW w:w="11916" w:type="dxa"/>
            <w:gridSpan w:val="3"/>
          </w:tcPr>
          <w:p w:rsidR="00810C2D" w:rsidRDefault="00810C2D">
            <w:r w:rsidRPr="00810C2D">
              <w:t>Continue with existing controls</w:t>
            </w:r>
          </w:p>
        </w:tc>
      </w:tr>
      <w:tr w:rsidR="00810C2D" w:rsidTr="00810C2D">
        <w:tc>
          <w:tcPr>
            <w:tcW w:w="2254" w:type="dxa"/>
          </w:tcPr>
          <w:p w:rsidR="00810C2D" w:rsidRPr="00810C2D" w:rsidRDefault="00810C2D">
            <w:pPr>
              <w:rPr>
                <w:b/>
              </w:rPr>
            </w:pPr>
            <w:r w:rsidRPr="00810C2D">
              <w:rPr>
                <w:b/>
              </w:rPr>
              <w:t>Mental Health and Wellbeing</w:t>
            </w:r>
          </w:p>
        </w:tc>
        <w:tc>
          <w:tcPr>
            <w:tcW w:w="11916" w:type="dxa"/>
            <w:gridSpan w:val="3"/>
          </w:tcPr>
          <w:p w:rsidR="00810C2D" w:rsidRDefault="00810C2D">
            <w:r w:rsidRPr="00810C2D">
              <w:t>Continue with existing controls</w:t>
            </w:r>
          </w:p>
        </w:tc>
      </w:tr>
      <w:tr w:rsidR="00810C2D" w:rsidTr="00810C2D">
        <w:tc>
          <w:tcPr>
            <w:tcW w:w="2254" w:type="dxa"/>
          </w:tcPr>
          <w:p w:rsidR="00810C2D" w:rsidRPr="00810C2D" w:rsidRDefault="00810C2D">
            <w:pPr>
              <w:rPr>
                <w:b/>
              </w:rPr>
            </w:pPr>
            <w:r w:rsidRPr="00810C2D">
              <w:rPr>
                <w:b/>
              </w:rPr>
              <w:t>Emergency Procedures</w:t>
            </w:r>
          </w:p>
        </w:tc>
        <w:tc>
          <w:tcPr>
            <w:tcW w:w="11916" w:type="dxa"/>
            <w:gridSpan w:val="3"/>
          </w:tcPr>
          <w:p w:rsidR="00810C2D" w:rsidRDefault="00810C2D">
            <w:r w:rsidRPr="00810C2D">
              <w:t>Continue with existing controls</w:t>
            </w:r>
          </w:p>
        </w:tc>
      </w:tr>
    </w:tbl>
    <w:p w:rsidR="00D032BF" w:rsidRDefault="00D032BF"/>
    <w:sectPr w:rsidR="00D032BF" w:rsidSect="00810C2D">
      <w:pgSz w:w="16838" w:h="11906" w:orient="landscape"/>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2A75"/>
    <w:multiLevelType w:val="hybridMultilevel"/>
    <w:tmpl w:val="A59A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FB"/>
    <w:rsid w:val="000D48FB"/>
    <w:rsid w:val="001F13D2"/>
    <w:rsid w:val="0076491A"/>
    <w:rsid w:val="00810C2D"/>
    <w:rsid w:val="0084183D"/>
    <w:rsid w:val="008561FA"/>
    <w:rsid w:val="00883579"/>
    <w:rsid w:val="00D032BF"/>
    <w:rsid w:val="00E91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40956-63DC-4651-A879-EA238666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C2D"/>
    <w:pPr>
      <w:ind w:left="720"/>
      <w:contextualSpacing/>
    </w:pPr>
  </w:style>
  <w:style w:type="character" w:styleId="Hyperlink">
    <w:name w:val="Hyperlink"/>
    <w:basedOn w:val="DefaultParagraphFont"/>
    <w:uiPriority w:val="99"/>
    <w:unhideWhenUsed/>
    <w:rsid w:val="008561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wales/self-isol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Owen</dc:creator>
  <cp:keywords/>
  <dc:description/>
  <cp:lastModifiedBy>St Josephs Infant Headteacher (6713310) - Julie Beaumont Rees</cp:lastModifiedBy>
  <cp:revision>2</cp:revision>
  <dcterms:created xsi:type="dcterms:W3CDTF">2022-01-06T10:46:00Z</dcterms:created>
  <dcterms:modified xsi:type="dcterms:W3CDTF">2022-01-06T10:46:00Z</dcterms:modified>
</cp:coreProperties>
</file>